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A8" w:rsidRDefault="004136DA" w:rsidP="00BC2CA8">
      <w:pPr>
        <w:jc w:val="center"/>
        <w:rPr>
          <w:b/>
          <w:noProof/>
        </w:rPr>
      </w:pPr>
      <w:r>
        <w:rPr>
          <w:b/>
          <w:noProof/>
        </w:rPr>
        <w:drawing>
          <wp:inline distT="0" distB="0" distL="0" distR="0">
            <wp:extent cx="1238250" cy="1304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BC2CA8" w:rsidRDefault="00BC2CA8" w:rsidP="00BC2CA8">
      <w:pPr>
        <w:jc w:val="center"/>
        <w:outlineLvl w:val="0"/>
        <w:rPr>
          <w:b/>
        </w:rPr>
      </w:pPr>
      <w:r>
        <w:rPr>
          <w:b/>
        </w:rPr>
        <w:t xml:space="preserve">CONFIDENTIAL - </w:t>
      </w:r>
      <w:r w:rsidRPr="00F10291">
        <w:rPr>
          <w:b/>
        </w:rPr>
        <w:t>NOT FOR PUBLIC DISTRIBUTION</w:t>
      </w:r>
    </w:p>
    <w:p w:rsidR="00BC2CA8" w:rsidRDefault="00BC2CA8" w:rsidP="00BC2CA8">
      <w:pPr>
        <w:rPr>
          <w:b/>
        </w:rPr>
      </w:pPr>
    </w:p>
    <w:p w:rsidR="00BC2CA8" w:rsidRPr="006B595D" w:rsidRDefault="00BC2CA8" w:rsidP="00BC2CA8">
      <w:pPr>
        <w:jc w:val="center"/>
        <w:outlineLvl w:val="0"/>
        <w:rPr>
          <w:b/>
        </w:rPr>
      </w:pPr>
      <w:r w:rsidRPr="006B595D">
        <w:rPr>
          <w:b/>
        </w:rPr>
        <w:t xml:space="preserve">Agenda for Financial Crisis Inquiry Commission </w:t>
      </w:r>
      <w:r>
        <w:rPr>
          <w:b/>
        </w:rPr>
        <w:t>Telephonic Business</w:t>
      </w:r>
      <w:r w:rsidRPr="006B595D">
        <w:rPr>
          <w:b/>
        </w:rPr>
        <w:t xml:space="preserve"> </w:t>
      </w:r>
      <w:r>
        <w:rPr>
          <w:b/>
        </w:rPr>
        <w:t>Meeting of</w:t>
      </w:r>
      <w:r w:rsidRPr="006B595D">
        <w:rPr>
          <w:b/>
        </w:rPr>
        <w:t xml:space="preserve"> </w:t>
      </w:r>
    </w:p>
    <w:p w:rsidR="00BC2CA8" w:rsidRPr="006B595D" w:rsidRDefault="00BC2CA8" w:rsidP="00BC2CA8">
      <w:pPr>
        <w:jc w:val="center"/>
        <w:rPr>
          <w:b/>
        </w:rPr>
      </w:pPr>
      <w:r>
        <w:rPr>
          <w:b/>
        </w:rPr>
        <w:t xml:space="preserve">Tuesday </w:t>
      </w:r>
      <w:r w:rsidR="000E127A">
        <w:rPr>
          <w:b/>
        </w:rPr>
        <w:t>October 12</w:t>
      </w:r>
      <w:r w:rsidR="00883514">
        <w:rPr>
          <w:b/>
        </w:rPr>
        <w:t>,</w:t>
      </w:r>
      <w:r>
        <w:rPr>
          <w:b/>
        </w:rPr>
        <w:t xml:space="preserve"> 2010</w:t>
      </w:r>
    </w:p>
    <w:p w:rsidR="00BC2CA8" w:rsidRDefault="00BC2CA8" w:rsidP="00BC2CA8">
      <w:pPr>
        <w:jc w:val="center"/>
        <w:rPr>
          <w:b/>
          <w:bCs/>
        </w:rPr>
      </w:pPr>
      <w:r w:rsidRPr="00684132">
        <w:rPr>
          <w:b/>
          <w:bCs/>
        </w:rPr>
        <w:t>12:00</w:t>
      </w:r>
      <w:r>
        <w:rPr>
          <w:b/>
          <w:bCs/>
        </w:rPr>
        <w:t>-1:30</w:t>
      </w:r>
      <w:r w:rsidRPr="004254BC">
        <w:rPr>
          <w:b/>
          <w:bCs/>
        </w:rPr>
        <w:t>pm</w:t>
      </w:r>
      <w:r w:rsidR="00661D88">
        <w:rPr>
          <w:b/>
          <w:bCs/>
        </w:rPr>
        <w:t xml:space="preserve"> ED</w:t>
      </w:r>
      <w:r w:rsidRPr="00E91528">
        <w:rPr>
          <w:b/>
          <w:bCs/>
        </w:rPr>
        <w:t>T</w:t>
      </w:r>
    </w:p>
    <w:p w:rsidR="00BC2CA8" w:rsidRPr="000C378D" w:rsidRDefault="00BC2CA8" w:rsidP="00BC2CA8">
      <w:pPr>
        <w:jc w:val="center"/>
        <w:rPr>
          <w:b/>
        </w:rPr>
      </w:pPr>
      <w:r w:rsidRPr="000C378D">
        <w:rPr>
          <w:b/>
        </w:rPr>
        <w:t>Conference Dial-In Number: 866-692-3582</w:t>
      </w:r>
    </w:p>
    <w:p w:rsidR="00BC2CA8" w:rsidRDefault="00BC2CA8" w:rsidP="00BC2CA8">
      <w:pPr>
        <w:jc w:val="center"/>
        <w:rPr>
          <w:b/>
        </w:rPr>
      </w:pPr>
      <w:r w:rsidRPr="000C378D">
        <w:rPr>
          <w:b/>
        </w:rPr>
        <w:t>Participant Access Code: 3387529</w:t>
      </w:r>
    </w:p>
    <w:p w:rsidR="00AA6616" w:rsidRDefault="00AA6616" w:rsidP="00BC2CA8">
      <w:pPr>
        <w:tabs>
          <w:tab w:val="left" w:pos="5747"/>
        </w:tabs>
        <w:rPr>
          <w:rFonts w:ascii="Arial" w:hAnsi="Arial" w:cs="Arial"/>
          <w:sz w:val="20"/>
          <w:szCs w:val="20"/>
        </w:rPr>
      </w:pPr>
    </w:p>
    <w:p w:rsidR="0057334D" w:rsidRDefault="00AA6616" w:rsidP="00AA6616">
      <w:pPr>
        <w:tabs>
          <w:tab w:val="left" w:pos="5747"/>
        </w:tabs>
        <w:jc w:val="center"/>
      </w:pPr>
      <w:r>
        <w:rPr>
          <w:rFonts w:ascii="Arial" w:hAnsi="Arial" w:cs="Arial"/>
          <w:sz w:val="20"/>
          <w:szCs w:val="20"/>
        </w:rPr>
        <w:t>Leader: 4459479</w:t>
      </w:r>
    </w:p>
    <w:p w:rsidR="005217AA" w:rsidRPr="005217AA" w:rsidRDefault="005217AA" w:rsidP="005217AA">
      <w:pPr>
        <w:tabs>
          <w:tab w:val="left" w:pos="5747"/>
        </w:tabs>
        <w:jc w:val="center"/>
        <w:rPr>
          <w:b/>
        </w:rPr>
      </w:pPr>
      <w:r w:rsidRPr="005217AA">
        <w:rPr>
          <w:b/>
          <w:highlight w:val="yellow"/>
        </w:rPr>
        <w:t>TURN ON THE RECORDER</w:t>
      </w:r>
    </w:p>
    <w:p w:rsidR="005217AA" w:rsidRDefault="005217AA" w:rsidP="00BC2CA8">
      <w:pPr>
        <w:tabs>
          <w:tab w:val="left" w:pos="5747"/>
        </w:tabs>
      </w:pPr>
    </w:p>
    <w:p w:rsidR="000E127A" w:rsidRPr="006B595D" w:rsidRDefault="000E127A" w:rsidP="000E127A">
      <w:pPr>
        <w:ind w:left="720" w:firstLine="720"/>
        <w:rPr>
          <w:b/>
          <w:u w:val="single"/>
        </w:rPr>
      </w:pPr>
      <w:r w:rsidRPr="006B595D">
        <w:rPr>
          <w:b/>
          <w:u w:val="single"/>
        </w:rPr>
        <w:t>Agenda Item</w:t>
      </w:r>
      <w:r w:rsidRPr="006B595D">
        <w:rPr>
          <w:b/>
        </w:rPr>
        <w:tab/>
      </w:r>
      <w:r w:rsidRPr="006B595D">
        <w:rPr>
          <w:b/>
        </w:rPr>
        <w:tab/>
      </w:r>
      <w:r w:rsidRPr="006B595D">
        <w:rPr>
          <w:b/>
        </w:rPr>
        <w:tab/>
      </w:r>
      <w:r w:rsidRPr="006B595D">
        <w:rPr>
          <w:b/>
        </w:rPr>
        <w:tab/>
      </w:r>
      <w:r w:rsidRPr="006B595D">
        <w:rPr>
          <w:b/>
        </w:rPr>
        <w:tab/>
      </w:r>
      <w:r w:rsidRPr="006B595D">
        <w:rPr>
          <w:b/>
          <w:u w:val="single"/>
        </w:rPr>
        <w:t>Presentation</w:t>
      </w:r>
    </w:p>
    <w:p w:rsidR="000E127A" w:rsidRPr="006B595D" w:rsidRDefault="000E127A" w:rsidP="000E127A">
      <w:pPr>
        <w:rPr>
          <w:b/>
          <w:bCs/>
        </w:rPr>
      </w:pPr>
    </w:p>
    <w:p w:rsidR="000E127A" w:rsidRPr="00AE142A" w:rsidRDefault="000E127A" w:rsidP="000E127A">
      <w:pPr>
        <w:pStyle w:val="ListParagraph"/>
        <w:numPr>
          <w:ilvl w:val="0"/>
          <w:numId w:val="6"/>
        </w:numPr>
        <w:ind w:left="360"/>
        <w:rPr>
          <w:b/>
          <w:bCs/>
        </w:rPr>
      </w:pPr>
      <w:r>
        <w:rPr>
          <w:b/>
          <w:bCs/>
        </w:rPr>
        <w:t>Call to Order</w:t>
      </w:r>
      <w:r w:rsidRPr="006B595D">
        <w:rPr>
          <w:b/>
          <w:bCs/>
        </w:rPr>
        <w:tab/>
      </w:r>
      <w:r w:rsidRPr="006B595D">
        <w:rPr>
          <w:b/>
          <w:bCs/>
        </w:rPr>
        <w:tab/>
      </w:r>
      <w:r w:rsidRPr="006B595D">
        <w:rPr>
          <w:b/>
          <w:bCs/>
        </w:rPr>
        <w:tab/>
      </w:r>
      <w:r w:rsidRPr="006B595D">
        <w:rPr>
          <w:b/>
          <w:bCs/>
        </w:rPr>
        <w:tab/>
      </w:r>
      <w:r w:rsidRPr="006B595D">
        <w:rPr>
          <w:b/>
          <w:bCs/>
        </w:rPr>
        <w:tab/>
        <w:t>Chairman Angelides </w:t>
      </w:r>
    </w:p>
    <w:p w:rsidR="00AA6616" w:rsidRDefault="00AA6616" w:rsidP="000E127A">
      <w:pPr>
        <w:pStyle w:val="ListParagraph"/>
        <w:ind w:left="360" w:firstLine="720"/>
        <w:rPr>
          <w:b/>
          <w:bCs/>
        </w:rPr>
      </w:pPr>
    </w:p>
    <w:p w:rsidR="000E127A" w:rsidRDefault="00AA6616" w:rsidP="000E127A">
      <w:pPr>
        <w:pStyle w:val="ListParagraph"/>
        <w:ind w:left="360" w:firstLine="720"/>
        <w:rPr>
          <w:b/>
          <w:bCs/>
        </w:rPr>
      </w:pPr>
      <w:r>
        <w:rPr>
          <w:b/>
          <w:bCs/>
        </w:rPr>
        <w:t>Call to order at 12:01pm</w:t>
      </w:r>
    </w:p>
    <w:p w:rsidR="00AA6616" w:rsidRDefault="00AA6616" w:rsidP="000E127A">
      <w:pPr>
        <w:pStyle w:val="ListParagraph"/>
        <w:ind w:left="360" w:firstLine="720"/>
        <w:rPr>
          <w:b/>
          <w:bCs/>
        </w:rPr>
      </w:pPr>
    </w:p>
    <w:p w:rsidR="000E127A" w:rsidRDefault="000E127A" w:rsidP="000E127A">
      <w:pPr>
        <w:pStyle w:val="ListParagraph"/>
        <w:numPr>
          <w:ilvl w:val="0"/>
          <w:numId w:val="6"/>
        </w:numPr>
        <w:ind w:left="360"/>
        <w:rPr>
          <w:b/>
          <w:bCs/>
        </w:rPr>
      </w:pPr>
      <w:r w:rsidRPr="006B595D">
        <w:rPr>
          <w:b/>
          <w:bCs/>
        </w:rPr>
        <w:t xml:space="preserve">Roll Call  </w:t>
      </w:r>
      <w:r w:rsidRPr="006B595D">
        <w:rPr>
          <w:b/>
          <w:bCs/>
        </w:rPr>
        <w:tab/>
      </w:r>
      <w:r w:rsidRPr="006B595D">
        <w:rPr>
          <w:b/>
          <w:bCs/>
        </w:rPr>
        <w:tab/>
      </w:r>
      <w:r w:rsidRPr="006B595D">
        <w:rPr>
          <w:b/>
          <w:bCs/>
        </w:rPr>
        <w:tab/>
      </w:r>
      <w:r w:rsidRPr="006B595D">
        <w:rPr>
          <w:b/>
          <w:bCs/>
        </w:rPr>
        <w:tab/>
      </w:r>
      <w:r w:rsidRPr="006B595D">
        <w:rPr>
          <w:b/>
          <w:bCs/>
        </w:rPr>
        <w:tab/>
      </w:r>
      <w:r w:rsidRPr="006B595D">
        <w:rPr>
          <w:b/>
          <w:bCs/>
        </w:rPr>
        <w:tab/>
        <w:t>Chairman Angelides</w:t>
      </w:r>
    </w:p>
    <w:p w:rsidR="005217AA" w:rsidRDefault="005217AA" w:rsidP="005217AA">
      <w:pPr>
        <w:pStyle w:val="ListParagraph"/>
        <w:ind w:left="360"/>
        <w:rPr>
          <w:b/>
          <w:bCs/>
        </w:rPr>
      </w:pPr>
    </w:p>
    <w:p w:rsidR="005217AA" w:rsidRPr="005217AA" w:rsidRDefault="00AA6616" w:rsidP="005217AA">
      <w:pPr>
        <w:pStyle w:val="ListParagraph"/>
        <w:ind w:left="360"/>
        <w:rPr>
          <w:bCs/>
        </w:rPr>
      </w:pPr>
      <w:r>
        <w:rPr>
          <w:bCs/>
        </w:rPr>
        <w:t>x</w:t>
      </w:r>
      <w:r w:rsidR="005217AA" w:rsidRPr="005217AA">
        <w:rPr>
          <w:bCs/>
        </w:rPr>
        <w:t>Phil Angelides</w:t>
      </w:r>
    </w:p>
    <w:p w:rsidR="005217AA" w:rsidRPr="005217AA" w:rsidRDefault="00AA6616" w:rsidP="005217AA">
      <w:pPr>
        <w:pStyle w:val="ListParagraph"/>
        <w:ind w:left="360"/>
        <w:rPr>
          <w:bCs/>
        </w:rPr>
      </w:pPr>
      <w:r>
        <w:rPr>
          <w:bCs/>
        </w:rPr>
        <w:t>x</w:t>
      </w:r>
      <w:r w:rsidR="005217AA" w:rsidRPr="005217AA">
        <w:rPr>
          <w:bCs/>
        </w:rPr>
        <w:t>Bill Thomas</w:t>
      </w:r>
    </w:p>
    <w:p w:rsidR="005217AA" w:rsidRPr="005217AA" w:rsidRDefault="00AA6616" w:rsidP="005217AA">
      <w:pPr>
        <w:pStyle w:val="ListParagraph"/>
        <w:ind w:left="360"/>
        <w:rPr>
          <w:bCs/>
        </w:rPr>
      </w:pPr>
      <w:r>
        <w:rPr>
          <w:bCs/>
        </w:rPr>
        <w:t>x</w:t>
      </w:r>
      <w:r w:rsidR="005217AA" w:rsidRPr="005217AA">
        <w:rPr>
          <w:bCs/>
        </w:rPr>
        <w:t>Brooksley Born</w:t>
      </w:r>
    </w:p>
    <w:p w:rsidR="005217AA" w:rsidRPr="005217AA" w:rsidRDefault="00AA6616" w:rsidP="005217AA">
      <w:pPr>
        <w:pStyle w:val="ListParagraph"/>
        <w:ind w:left="360"/>
        <w:rPr>
          <w:bCs/>
        </w:rPr>
      </w:pPr>
      <w:r>
        <w:rPr>
          <w:bCs/>
        </w:rPr>
        <w:t>x</w:t>
      </w:r>
      <w:r w:rsidR="005217AA" w:rsidRPr="005217AA">
        <w:rPr>
          <w:bCs/>
        </w:rPr>
        <w:t>Byron Georgiou</w:t>
      </w:r>
    </w:p>
    <w:p w:rsidR="005217AA" w:rsidRPr="005217AA" w:rsidRDefault="00AA6616" w:rsidP="005217AA">
      <w:pPr>
        <w:pStyle w:val="ListParagraph"/>
        <w:ind w:left="360"/>
        <w:rPr>
          <w:bCs/>
        </w:rPr>
      </w:pPr>
      <w:r>
        <w:rPr>
          <w:bCs/>
        </w:rPr>
        <w:t>--</w:t>
      </w:r>
      <w:r w:rsidR="005217AA" w:rsidRPr="005217AA">
        <w:rPr>
          <w:bCs/>
        </w:rPr>
        <w:t>Robert Graham</w:t>
      </w:r>
      <w:r w:rsidR="00421B69">
        <w:rPr>
          <w:bCs/>
        </w:rPr>
        <w:t xml:space="preserve"> (absent)</w:t>
      </w:r>
    </w:p>
    <w:p w:rsidR="005217AA" w:rsidRPr="00421B69" w:rsidRDefault="00AA6616" w:rsidP="005217AA">
      <w:pPr>
        <w:pStyle w:val="ListParagraph"/>
        <w:ind w:left="360"/>
        <w:rPr>
          <w:b/>
          <w:bCs/>
        </w:rPr>
      </w:pPr>
      <w:r>
        <w:rPr>
          <w:bCs/>
        </w:rPr>
        <w:t>--</w:t>
      </w:r>
      <w:r w:rsidR="005217AA" w:rsidRPr="005217AA">
        <w:rPr>
          <w:bCs/>
        </w:rPr>
        <w:t>Keith Hennessey</w:t>
      </w:r>
      <w:r w:rsidR="00421B69">
        <w:rPr>
          <w:bCs/>
        </w:rPr>
        <w:t xml:space="preserve"> </w:t>
      </w:r>
      <w:r w:rsidR="00421B69" w:rsidRPr="00421B69">
        <w:rPr>
          <w:b/>
          <w:bCs/>
        </w:rPr>
        <w:t>(joined during agenda Item 8)</w:t>
      </w:r>
    </w:p>
    <w:p w:rsidR="005217AA" w:rsidRPr="005217AA" w:rsidRDefault="00AA6616" w:rsidP="005217AA">
      <w:pPr>
        <w:pStyle w:val="ListParagraph"/>
        <w:ind w:left="360"/>
        <w:rPr>
          <w:bCs/>
        </w:rPr>
      </w:pPr>
      <w:r>
        <w:rPr>
          <w:bCs/>
        </w:rPr>
        <w:t>x</w:t>
      </w:r>
      <w:r w:rsidR="005217AA" w:rsidRPr="005217AA">
        <w:rPr>
          <w:bCs/>
        </w:rPr>
        <w:t>Doug Holtz-Eakin</w:t>
      </w:r>
    </w:p>
    <w:p w:rsidR="005217AA" w:rsidRPr="005217AA" w:rsidRDefault="00AA6616" w:rsidP="005217AA">
      <w:pPr>
        <w:pStyle w:val="ListParagraph"/>
        <w:ind w:left="360"/>
        <w:rPr>
          <w:bCs/>
        </w:rPr>
      </w:pPr>
      <w:r>
        <w:rPr>
          <w:bCs/>
        </w:rPr>
        <w:t>x</w:t>
      </w:r>
      <w:r w:rsidR="005217AA" w:rsidRPr="005217AA">
        <w:rPr>
          <w:bCs/>
        </w:rPr>
        <w:t>Heather Murren</w:t>
      </w:r>
    </w:p>
    <w:p w:rsidR="005217AA" w:rsidRPr="005217AA" w:rsidRDefault="00AA6616" w:rsidP="005217AA">
      <w:pPr>
        <w:pStyle w:val="ListParagraph"/>
        <w:ind w:left="360"/>
        <w:rPr>
          <w:bCs/>
        </w:rPr>
      </w:pPr>
      <w:r>
        <w:rPr>
          <w:bCs/>
        </w:rPr>
        <w:t>x</w:t>
      </w:r>
      <w:r w:rsidR="005217AA" w:rsidRPr="005217AA">
        <w:rPr>
          <w:bCs/>
        </w:rPr>
        <w:t>John W. Thompson</w:t>
      </w:r>
    </w:p>
    <w:p w:rsidR="005217AA" w:rsidRDefault="00AA6616" w:rsidP="005217AA">
      <w:pPr>
        <w:pStyle w:val="ListParagraph"/>
        <w:ind w:left="360"/>
        <w:rPr>
          <w:bCs/>
        </w:rPr>
      </w:pPr>
      <w:r>
        <w:rPr>
          <w:bCs/>
        </w:rPr>
        <w:t>x</w:t>
      </w:r>
      <w:r w:rsidR="005217AA" w:rsidRPr="005217AA">
        <w:rPr>
          <w:bCs/>
        </w:rPr>
        <w:t>Peter Wallison</w:t>
      </w:r>
    </w:p>
    <w:p w:rsidR="005217AA" w:rsidRDefault="005217AA" w:rsidP="005217AA">
      <w:pPr>
        <w:pStyle w:val="ListParagraph"/>
        <w:ind w:left="360"/>
        <w:rPr>
          <w:bCs/>
        </w:rPr>
      </w:pPr>
    </w:p>
    <w:p w:rsidR="005217AA" w:rsidRPr="005217AA" w:rsidRDefault="005217AA" w:rsidP="005217AA">
      <w:pPr>
        <w:pStyle w:val="ListParagraph"/>
        <w:ind w:left="360"/>
        <w:rPr>
          <w:bCs/>
        </w:rPr>
      </w:pPr>
      <w:r>
        <w:rPr>
          <w:bCs/>
        </w:rPr>
        <w:t xml:space="preserve">Also participating: </w:t>
      </w:r>
      <w:r w:rsidR="00AA6616">
        <w:rPr>
          <w:bCs/>
        </w:rPr>
        <w:t>Wendy, Gary, Scott</w:t>
      </w:r>
      <w:r w:rsidR="00421B69">
        <w:rPr>
          <w:bCs/>
        </w:rPr>
        <w:t xml:space="preserve"> – Chris Seefer for Agenda Item 8.</w:t>
      </w:r>
    </w:p>
    <w:p w:rsidR="000E127A" w:rsidRDefault="000E127A" w:rsidP="000E127A">
      <w:pPr>
        <w:pStyle w:val="ListParagraph"/>
        <w:rPr>
          <w:b/>
          <w:bCs/>
        </w:rPr>
      </w:pPr>
    </w:p>
    <w:p w:rsidR="000E127A" w:rsidRPr="006B595D" w:rsidRDefault="000E127A" w:rsidP="000E127A">
      <w:pPr>
        <w:pStyle w:val="ListParagraph"/>
        <w:numPr>
          <w:ilvl w:val="0"/>
          <w:numId w:val="6"/>
        </w:numPr>
        <w:ind w:left="360"/>
        <w:rPr>
          <w:b/>
          <w:bCs/>
        </w:rPr>
      </w:pPr>
      <w:r w:rsidRPr="006B595D">
        <w:rPr>
          <w:b/>
        </w:rPr>
        <w:t>Approval of Minutes</w:t>
      </w:r>
      <w:r>
        <w:rPr>
          <w:b/>
        </w:rPr>
        <w:t xml:space="preserve"> </w:t>
      </w:r>
      <w:r w:rsidRPr="006B595D">
        <w:rPr>
          <w:b/>
        </w:rPr>
        <w:t xml:space="preserve">of </w:t>
      </w:r>
      <w:r>
        <w:rPr>
          <w:b/>
        </w:rPr>
        <w:t xml:space="preserve">Telephonic </w:t>
      </w:r>
      <w:r>
        <w:rPr>
          <w:b/>
        </w:rPr>
        <w:tab/>
      </w:r>
      <w:r>
        <w:rPr>
          <w:b/>
        </w:rPr>
        <w:tab/>
      </w:r>
      <w:r w:rsidRPr="006B595D">
        <w:rPr>
          <w:b/>
        </w:rPr>
        <w:t>Chairman Angelides</w:t>
      </w:r>
    </w:p>
    <w:p w:rsidR="000E127A" w:rsidRDefault="000E127A" w:rsidP="000E127A">
      <w:pPr>
        <w:ind w:firstLine="360"/>
        <w:outlineLvl w:val="0"/>
        <w:rPr>
          <w:b/>
        </w:rPr>
      </w:pPr>
      <w:r>
        <w:rPr>
          <w:b/>
        </w:rPr>
        <w:t xml:space="preserve">Business </w:t>
      </w:r>
      <w:r w:rsidRPr="006B595D">
        <w:rPr>
          <w:b/>
        </w:rPr>
        <w:t xml:space="preserve">Meeting </w:t>
      </w:r>
      <w:r>
        <w:rPr>
          <w:b/>
        </w:rPr>
        <w:t xml:space="preserve">of September 14, 2010 </w:t>
      </w:r>
    </w:p>
    <w:p w:rsidR="000E127A" w:rsidRPr="005965CA" w:rsidRDefault="005128E2" w:rsidP="000E127A">
      <w:pPr>
        <w:ind w:firstLine="360"/>
        <w:outlineLvl w:val="0"/>
        <w:rPr>
          <w:b/>
        </w:rPr>
      </w:pPr>
      <w:r>
        <w:rPr>
          <w:i/>
        </w:rPr>
        <w:t>(Attached)</w:t>
      </w:r>
      <w:r w:rsidR="000E127A">
        <w:rPr>
          <w:i/>
        </w:rPr>
        <w:tab/>
      </w:r>
      <w:r w:rsidR="000E127A">
        <w:rPr>
          <w:i/>
        </w:rPr>
        <w:tab/>
      </w:r>
    </w:p>
    <w:p w:rsidR="00AA6616" w:rsidRDefault="000E127A" w:rsidP="000E127A">
      <w:pPr>
        <w:rPr>
          <w:b/>
          <w:bCs/>
        </w:rPr>
      </w:pPr>
      <w:r>
        <w:rPr>
          <w:b/>
          <w:bCs/>
        </w:rPr>
        <w:tab/>
      </w:r>
    </w:p>
    <w:p w:rsidR="000E127A" w:rsidRPr="00AA6616" w:rsidRDefault="00AA6616" w:rsidP="00AA6616">
      <w:pPr>
        <w:ind w:firstLine="720"/>
        <w:rPr>
          <w:bCs/>
          <w:i/>
        </w:rPr>
      </w:pPr>
      <w:r w:rsidRPr="00AA6616">
        <w:rPr>
          <w:bCs/>
          <w:i/>
        </w:rPr>
        <w:t>Born, Byron – Motion passes 8-0</w:t>
      </w:r>
    </w:p>
    <w:p w:rsidR="00AA6616" w:rsidRDefault="00AA6616" w:rsidP="00AA6616">
      <w:pPr>
        <w:ind w:firstLine="720"/>
        <w:rPr>
          <w:b/>
          <w:bCs/>
        </w:rPr>
      </w:pPr>
    </w:p>
    <w:p w:rsidR="000E127A" w:rsidRPr="006B595D" w:rsidRDefault="000E127A" w:rsidP="000E127A">
      <w:pPr>
        <w:pStyle w:val="ListParagraph"/>
        <w:numPr>
          <w:ilvl w:val="0"/>
          <w:numId w:val="6"/>
        </w:numPr>
        <w:ind w:left="360"/>
        <w:rPr>
          <w:b/>
          <w:bCs/>
        </w:rPr>
      </w:pPr>
      <w:r w:rsidRPr="006B595D">
        <w:rPr>
          <w:b/>
        </w:rPr>
        <w:t>Approval of Minutes</w:t>
      </w:r>
      <w:r>
        <w:rPr>
          <w:b/>
        </w:rPr>
        <w:t xml:space="preserve"> </w:t>
      </w:r>
      <w:r w:rsidRPr="006B595D">
        <w:rPr>
          <w:b/>
        </w:rPr>
        <w:t xml:space="preserve">of </w:t>
      </w:r>
      <w:r>
        <w:rPr>
          <w:b/>
        </w:rPr>
        <w:t>Business Meeting/</w:t>
      </w:r>
      <w:r>
        <w:rPr>
          <w:b/>
        </w:rPr>
        <w:tab/>
      </w:r>
      <w:r w:rsidRPr="006B595D">
        <w:rPr>
          <w:b/>
        </w:rPr>
        <w:t>Chairman Angelides</w:t>
      </w:r>
    </w:p>
    <w:p w:rsidR="000E127A" w:rsidRDefault="000E127A" w:rsidP="000E127A">
      <w:pPr>
        <w:ind w:firstLine="360"/>
        <w:outlineLvl w:val="0"/>
        <w:rPr>
          <w:b/>
        </w:rPr>
      </w:pPr>
      <w:r>
        <w:rPr>
          <w:b/>
        </w:rPr>
        <w:t>Retreat</w:t>
      </w:r>
      <w:r w:rsidRPr="006B595D">
        <w:rPr>
          <w:b/>
        </w:rPr>
        <w:t xml:space="preserve"> </w:t>
      </w:r>
      <w:r>
        <w:rPr>
          <w:b/>
        </w:rPr>
        <w:t xml:space="preserve">of September 29, 2010 </w:t>
      </w:r>
    </w:p>
    <w:p w:rsidR="00AA6616" w:rsidRDefault="00724DFB" w:rsidP="000E127A">
      <w:pPr>
        <w:pStyle w:val="ListParagraph"/>
        <w:ind w:left="360"/>
        <w:rPr>
          <w:i/>
        </w:rPr>
      </w:pPr>
      <w:r>
        <w:rPr>
          <w:i/>
        </w:rPr>
        <w:t>(Attached)</w:t>
      </w:r>
      <w:r>
        <w:rPr>
          <w:i/>
        </w:rPr>
        <w:tab/>
      </w:r>
    </w:p>
    <w:p w:rsidR="000E127A" w:rsidRPr="000E127A" w:rsidRDefault="00AA6616" w:rsidP="000E127A">
      <w:pPr>
        <w:pStyle w:val="ListParagraph"/>
        <w:ind w:left="360"/>
        <w:rPr>
          <w:b/>
        </w:rPr>
      </w:pPr>
      <w:r>
        <w:rPr>
          <w:i/>
        </w:rPr>
        <w:lastRenderedPageBreak/>
        <w:tab/>
        <w:t>Byron, Born – Motion passes, 8-0</w:t>
      </w:r>
      <w:r w:rsidR="000E127A">
        <w:rPr>
          <w:i/>
        </w:rPr>
        <w:tab/>
      </w:r>
    </w:p>
    <w:p w:rsidR="000E127A" w:rsidRDefault="000E127A" w:rsidP="000E127A">
      <w:pPr>
        <w:pStyle w:val="ListParagraph"/>
        <w:ind w:left="360"/>
        <w:rPr>
          <w:b/>
        </w:rPr>
      </w:pPr>
    </w:p>
    <w:p w:rsidR="000E127A" w:rsidRPr="008C737C" w:rsidRDefault="000E127A" w:rsidP="000E127A">
      <w:pPr>
        <w:pStyle w:val="ListParagraph"/>
        <w:numPr>
          <w:ilvl w:val="0"/>
          <w:numId w:val="6"/>
        </w:numPr>
        <w:ind w:left="360"/>
        <w:rPr>
          <w:b/>
        </w:rPr>
      </w:pPr>
      <w:r w:rsidRPr="008C737C">
        <w:rPr>
          <w:b/>
        </w:rPr>
        <w:t>Chairman’s and Vice Chairman’s Report</w:t>
      </w:r>
      <w:r w:rsidRPr="008C737C">
        <w:rPr>
          <w:b/>
        </w:rPr>
        <w:tab/>
        <w:t xml:space="preserve">Chairman Angelides and </w:t>
      </w:r>
    </w:p>
    <w:p w:rsidR="000E127A" w:rsidRDefault="000E127A" w:rsidP="000E127A">
      <w:pPr>
        <w:pStyle w:val="ListParagraph"/>
        <w:ind w:left="4680" w:firstLine="360"/>
        <w:outlineLvl w:val="0"/>
        <w:rPr>
          <w:b/>
        </w:rPr>
      </w:pPr>
      <w:r w:rsidRPr="008C737C">
        <w:rPr>
          <w:b/>
        </w:rPr>
        <w:t>Vice-Chairman Thomas</w:t>
      </w:r>
    </w:p>
    <w:p w:rsidR="000E127A" w:rsidRDefault="000E127A" w:rsidP="00AA6616">
      <w:pPr>
        <w:outlineLvl w:val="0"/>
        <w:rPr>
          <w:b/>
        </w:rPr>
      </w:pPr>
    </w:p>
    <w:p w:rsidR="00AA6616" w:rsidRDefault="00AA6616" w:rsidP="00AA6616">
      <w:pPr>
        <w:ind w:left="720"/>
        <w:outlineLvl w:val="0"/>
      </w:pPr>
      <w:r>
        <w:t>What materials will be available – judgement – week of Ocotber 26</w:t>
      </w:r>
      <w:r w:rsidRPr="00AA6616">
        <w:rPr>
          <w:vertAlign w:val="superscript"/>
        </w:rPr>
        <w:t>th</w:t>
      </w:r>
      <w:r>
        <w:t xml:space="preserve"> – our plan would be to meet Tuesday (26</w:t>
      </w:r>
      <w:r w:rsidRPr="00AA6616">
        <w:rPr>
          <w:vertAlign w:val="superscript"/>
        </w:rPr>
        <w:t>th</w:t>
      </w:r>
      <w:r>
        <w:t>) and Wednesday (27</w:t>
      </w:r>
      <w:r w:rsidRPr="00AA6616">
        <w:rPr>
          <w:vertAlign w:val="superscript"/>
        </w:rPr>
        <w:t>th</w:t>
      </w:r>
      <w:r>
        <w:t>) of that week. (No meeting Ocotber 28</w:t>
      </w:r>
      <w:r w:rsidRPr="00AA6616">
        <w:rPr>
          <w:vertAlign w:val="superscript"/>
        </w:rPr>
        <w:t>th</w:t>
      </w:r>
      <w:r>
        <w:t xml:space="preserve"> and 29</w:t>
      </w:r>
      <w:r w:rsidRPr="00AA6616">
        <w:rPr>
          <w:vertAlign w:val="superscript"/>
        </w:rPr>
        <w:t>th</w:t>
      </w:r>
      <w:r>
        <w:t>). C/VC will construct agenda – members will have substantial versions of the text for review before meeting.  Going into the final stretch – C/VC will confer as far in advance to determine how many/much meetings are needed.  Commissioners should keep flexibility week of November 15</w:t>
      </w:r>
      <w:r w:rsidRPr="00AA6616">
        <w:rPr>
          <w:vertAlign w:val="superscript"/>
        </w:rPr>
        <w:t>th</w:t>
      </w:r>
      <w:r>
        <w:t xml:space="preserve"> up to Thanks giving in case additional time/discussion is needed.  May at subsequent meetings make changes to rules re: timeline and production of the report. </w:t>
      </w:r>
    </w:p>
    <w:p w:rsidR="00AA6616" w:rsidRDefault="00AA6616" w:rsidP="00AA6616">
      <w:pPr>
        <w:ind w:left="720"/>
        <w:outlineLvl w:val="0"/>
      </w:pPr>
    </w:p>
    <w:p w:rsidR="00AA6616" w:rsidRDefault="00AA6616" w:rsidP="00AA6616">
      <w:pPr>
        <w:ind w:left="720"/>
        <w:outlineLvl w:val="0"/>
      </w:pPr>
      <w:r>
        <w:t>Bill: partially structured based upon indication of when Commissioners might be available.  Ideal – would be first week of 25</w:t>
      </w:r>
      <w:r w:rsidRPr="00AA6616">
        <w:rPr>
          <w:vertAlign w:val="superscript"/>
        </w:rPr>
        <w:t>th</w:t>
      </w:r>
      <w:r>
        <w:t xml:space="preserve"> to finish work product.  Already announced commitments of Commissioners latter part.  </w:t>
      </w:r>
    </w:p>
    <w:p w:rsidR="00AA6616" w:rsidRDefault="00AA6616" w:rsidP="00AA6616">
      <w:pPr>
        <w:ind w:left="720"/>
        <w:outlineLvl w:val="0"/>
      </w:pPr>
    </w:p>
    <w:p w:rsidR="00AA6616" w:rsidRDefault="00AA6616" w:rsidP="00AA6616">
      <w:pPr>
        <w:ind w:left="720"/>
        <w:outlineLvl w:val="0"/>
      </w:pPr>
      <w:r>
        <w:t>Commissioner Murren will be flexible and could come in early.</w:t>
      </w:r>
    </w:p>
    <w:p w:rsidR="00AA6616" w:rsidRDefault="00AA6616" w:rsidP="00AA6616">
      <w:pPr>
        <w:ind w:left="720"/>
        <w:outlineLvl w:val="0"/>
      </w:pPr>
    </w:p>
    <w:p w:rsidR="00AA6616" w:rsidRDefault="00AA6616" w:rsidP="00AA6616">
      <w:pPr>
        <w:ind w:left="720"/>
        <w:outlineLvl w:val="0"/>
      </w:pPr>
      <w:r>
        <w:t>Born: are you going to discuss the time schedule for us to get drafts?  PA; next under ED’s report.</w:t>
      </w:r>
    </w:p>
    <w:p w:rsidR="00AA6616" w:rsidRPr="00AA6616" w:rsidRDefault="00AA6616" w:rsidP="00AA6616">
      <w:pPr>
        <w:ind w:left="720"/>
        <w:outlineLvl w:val="0"/>
      </w:pPr>
    </w:p>
    <w:p w:rsidR="000E127A" w:rsidRPr="00C33562" w:rsidRDefault="000E127A" w:rsidP="000E127A">
      <w:pPr>
        <w:pStyle w:val="ListParagraph"/>
        <w:numPr>
          <w:ilvl w:val="0"/>
          <w:numId w:val="6"/>
        </w:numPr>
        <w:ind w:left="360"/>
        <w:rPr>
          <w:b/>
        </w:rPr>
      </w:pPr>
      <w:r>
        <w:rPr>
          <w:b/>
        </w:rPr>
        <w:t>Executive Director’s Report</w:t>
      </w:r>
      <w:r>
        <w:rPr>
          <w:b/>
        </w:rPr>
        <w:tab/>
      </w:r>
      <w:r>
        <w:rPr>
          <w:b/>
        </w:rPr>
        <w:tab/>
      </w:r>
      <w:r>
        <w:rPr>
          <w:b/>
        </w:rPr>
        <w:tab/>
        <w:t>Wendy Edelberg, Executive Director</w:t>
      </w:r>
      <w:r w:rsidRPr="00C33562">
        <w:rPr>
          <w:b/>
        </w:rPr>
        <w:t xml:space="preserve"> </w:t>
      </w:r>
      <w:r w:rsidRPr="00C33562">
        <w:rPr>
          <w:b/>
        </w:rPr>
        <w:tab/>
      </w:r>
    </w:p>
    <w:p w:rsidR="000E127A" w:rsidRDefault="000E127A" w:rsidP="000E127A">
      <w:pPr>
        <w:pStyle w:val="ListParagraph"/>
        <w:ind w:left="0"/>
        <w:rPr>
          <w:b/>
        </w:rPr>
      </w:pPr>
    </w:p>
    <w:p w:rsidR="00AA6616" w:rsidRDefault="00AA6616" w:rsidP="00AA6616">
      <w:pPr>
        <w:ind w:left="720"/>
      </w:pPr>
      <w:r>
        <w:t xml:space="preserve">WE: staff is wrapping up a number of different work streams because we have answered questions and received materials and running out of time.  Wrapping up investigations and follow up reports and rolling those out in the next week.  Merrill received last Friday.. </w:t>
      </w:r>
      <w:r w:rsidRPr="00AA6616">
        <w:rPr>
          <w:highlight w:val="yellow"/>
        </w:rPr>
        <w:t>Countrywide today.</w:t>
      </w:r>
      <w:r>
        <w:t xml:space="preserve">  Other reports –</w:t>
      </w:r>
      <w:r w:rsidR="00421B69">
        <w:t xml:space="preserve"> like CRA style issues. Eye toward what background info needed for report. Useful background info.</w:t>
      </w:r>
    </w:p>
    <w:p w:rsidR="00421B69" w:rsidRDefault="00421B69" w:rsidP="00AA6616">
      <w:pPr>
        <w:ind w:left="720"/>
      </w:pPr>
    </w:p>
    <w:p w:rsidR="00421B69" w:rsidRPr="00AA6616" w:rsidRDefault="00421B69" w:rsidP="00AA6616">
      <w:pPr>
        <w:ind w:left="720"/>
      </w:pPr>
    </w:p>
    <w:p w:rsidR="000E127A" w:rsidRPr="00B00B2B" w:rsidRDefault="000E127A" w:rsidP="000E127A">
      <w:pPr>
        <w:pStyle w:val="ListParagraph"/>
        <w:numPr>
          <w:ilvl w:val="0"/>
          <w:numId w:val="6"/>
        </w:numPr>
        <w:ind w:left="360"/>
        <w:rPr>
          <w:b/>
        </w:rPr>
      </w:pPr>
      <w:r>
        <w:rPr>
          <w:b/>
        </w:rPr>
        <w:t>Update on the Report</w:t>
      </w:r>
      <w:r>
        <w:rPr>
          <w:b/>
        </w:rPr>
        <w:tab/>
      </w:r>
      <w:r>
        <w:rPr>
          <w:b/>
        </w:rPr>
        <w:tab/>
      </w:r>
      <w:r>
        <w:rPr>
          <w:b/>
        </w:rPr>
        <w:tab/>
      </w:r>
      <w:r>
        <w:rPr>
          <w:b/>
        </w:rPr>
        <w:tab/>
        <w:t>Wendy Edelberg, Executive Director</w:t>
      </w:r>
      <w:r w:rsidRPr="00C33562">
        <w:rPr>
          <w:b/>
        </w:rPr>
        <w:t xml:space="preserve"> </w:t>
      </w:r>
      <w:r w:rsidRPr="00C33562">
        <w:rPr>
          <w:b/>
        </w:rPr>
        <w:tab/>
      </w:r>
    </w:p>
    <w:p w:rsidR="000E127A" w:rsidRDefault="000E127A" w:rsidP="004773AC">
      <w:pPr>
        <w:rPr>
          <w:b/>
        </w:rPr>
      </w:pPr>
    </w:p>
    <w:p w:rsidR="00421B69" w:rsidRDefault="00421B69" w:rsidP="00421B69">
      <w:pPr>
        <w:ind w:left="720"/>
      </w:pPr>
      <w:r>
        <w:t>Going full out.  First time in life – working as HARD as they can.  Draft of Section 3 rolled out for Commissioners well in advance of meeting in Ocotober.  Incorporating comments from C/VC and fact checking – will get to you ASAP – big chunks by this weekend.  Other sections of the report – we do have a rough draft – missing a few chapters – incorporating comments from C/VC on these sections.  Big hunk of Section 3 by Saturday.  A few days after – more pieces – rolling basis every few days. Chapters 3-4-5 on Saturday (25,000).</w:t>
      </w:r>
    </w:p>
    <w:p w:rsidR="00421B69" w:rsidRPr="00421B69" w:rsidRDefault="00421B69" w:rsidP="00421B69"/>
    <w:p w:rsidR="000E127A" w:rsidRPr="00076DC0" w:rsidRDefault="000E127A" w:rsidP="000E127A">
      <w:pPr>
        <w:pStyle w:val="ListParagraph"/>
        <w:numPr>
          <w:ilvl w:val="0"/>
          <w:numId w:val="6"/>
        </w:numPr>
        <w:ind w:left="360"/>
        <w:rPr>
          <w:b/>
        </w:rPr>
      </w:pPr>
      <w:r>
        <w:rPr>
          <w:b/>
        </w:rPr>
        <w:t>Referral</w:t>
      </w:r>
      <w:r w:rsidR="00C77231">
        <w:rPr>
          <w:b/>
        </w:rPr>
        <w:t>s</w:t>
      </w:r>
      <w:r>
        <w:rPr>
          <w:b/>
        </w:rPr>
        <w:t xml:space="preserve"> to Justice</w:t>
      </w:r>
      <w:r w:rsidR="00C77231">
        <w:rPr>
          <w:b/>
        </w:rPr>
        <w:tab/>
      </w:r>
      <w:r>
        <w:rPr>
          <w:b/>
        </w:rPr>
        <w:tab/>
      </w:r>
      <w:r>
        <w:rPr>
          <w:b/>
        </w:rPr>
        <w:tab/>
      </w:r>
      <w:r w:rsidR="004773AC">
        <w:rPr>
          <w:b/>
        </w:rPr>
        <w:tab/>
      </w:r>
      <w:r>
        <w:rPr>
          <w:b/>
        </w:rPr>
        <w:t>Gary Cohen, General Counsel</w:t>
      </w:r>
    </w:p>
    <w:p w:rsidR="000E127A" w:rsidRDefault="00C77231" w:rsidP="000E127A">
      <w:pPr>
        <w:pStyle w:val="ListParagraph"/>
        <w:ind w:left="360"/>
        <w:rPr>
          <w:i/>
        </w:rPr>
      </w:pPr>
      <w:r w:rsidRPr="007F14BB">
        <w:rPr>
          <w:i/>
        </w:rPr>
        <w:t>(</w:t>
      </w:r>
      <w:r w:rsidR="00643266">
        <w:rPr>
          <w:i/>
        </w:rPr>
        <w:t>Attached</w:t>
      </w:r>
      <w:r w:rsidR="000E127A" w:rsidRPr="007F14BB">
        <w:rPr>
          <w:i/>
        </w:rPr>
        <w:t>)</w:t>
      </w:r>
    </w:p>
    <w:p w:rsidR="00421B69" w:rsidRDefault="00421B69" w:rsidP="000E127A">
      <w:pPr>
        <w:pStyle w:val="ListParagraph"/>
        <w:ind w:left="360"/>
        <w:rPr>
          <w:i/>
        </w:rPr>
      </w:pPr>
    </w:p>
    <w:p w:rsidR="00421B69" w:rsidRDefault="00421B69" w:rsidP="000E127A">
      <w:pPr>
        <w:pStyle w:val="ListParagraph"/>
        <w:ind w:left="360"/>
      </w:pPr>
      <w:r>
        <w:rPr>
          <w:i/>
        </w:rPr>
        <w:tab/>
        <w:t>KEITH HENNESSEY joins at 12:17pm. Hand deliver to DOJ – no email. Email supplemental of Merrill referral.</w:t>
      </w:r>
      <w:r w:rsidR="003D7909">
        <w:rPr>
          <w:i/>
        </w:rPr>
        <w:t xml:space="preserve"> </w:t>
      </w:r>
      <w:r w:rsidR="003D7909">
        <w:t>Seefer provided an overview of the 3 refferrals.  Born: on the 3</w:t>
      </w:r>
      <w:r w:rsidR="003D7909" w:rsidRPr="003D7909">
        <w:rPr>
          <w:vertAlign w:val="superscript"/>
        </w:rPr>
        <w:t>rd</w:t>
      </w:r>
      <w:r w:rsidR="003D7909">
        <w:t xml:space="preserve"> item – purchase of CDO tranches may have been improper if purchased without </w:t>
      </w:r>
      <w:r w:rsidR="003D7909">
        <w:lastRenderedPageBreak/>
        <w:t xml:space="preserve">proper due diligence. Seefer – we don’t know if they did do due diligence.  Have info on what tranches were purchased and by whom, SEC looking at this, make info available. Bill: where are we on sending Fannie/Freddie materials?  BT wants to talk about Fannie memo before voting.  PA: understands Point 1 – intentional and reckless – may have been violation – misleading in omissions; Point 2- understands – same standard on a securities offering.  Point 3 – seems to be only thing we know if that CDO managers are Merrill creations? CS: no – we have info on 44 CDOs issued by Merrill, included who bought every subordinate tranch – many were collateral managers – ICP litigation – buy product to get fees without quality/due diligence. </w:t>
      </w:r>
    </w:p>
    <w:p w:rsidR="003D7909" w:rsidRPr="003D7909" w:rsidRDefault="003D7909" w:rsidP="000E127A">
      <w:pPr>
        <w:pStyle w:val="ListParagraph"/>
        <w:ind w:left="360"/>
      </w:pPr>
      <w:r>
        <w:rPr>
          <w:i/>
        </w:rPr>
        <w:t>Discuss memo on Fannie:</w:t>
      </w:r>
      <w:r>
        <w:t xml:space="preserve">  Gary – characterized the memo. Evolving further discussion re: Alt A and subprime in Fannie’s portfolio. </w:t>
      </w:r>
      <w:r w:rsidR="00366DE0">
        <w:t>Disclosure got better.  PW: description/disclosure of bands of Fico scores don’t really inform the investor. PA: your comments are specific to 2005 K? PW: they did the same thing to the others later on, but didn’t go so far to say holding in subprime were not immaterial PA: how is this different? Legal standard? His understanding that a violation in terms of the filings has to be intentionally misirection…or reckless.  We don’t have any information that would leave</w:t>
      </w:r>
      <w:r w:rsidR="004D0EA3">
        <w:t xml:space="preserve">…BT:  are we doing legal pre-screening?  We didn’t go through that kind of discussion last time.  PA: staff saying all this material is public – did not come across anything not public.  BT: then what is harm in sending them.  BB: we found that the relevant person may have violated the laws of the United States – explicit findings.  BB: issue posed here that Fannie in 10K were defining term of subprime and Alt-A mortgages. Bill: what is problem in sending this? Criteria for sending to justice.  Heather: not a legal expert – based on our mandate – if there is something that may have violated – forward on. Supportive of that.  PA: close call as to </w:t>
      </w:r>
      <w:r w:rsidR="00522CA3">
        <w:t xml:space="preserve">– inclined to move forward. Forced it to vote last time.  Completely reversing the argument – pleased the Chairman understands the consequences. BB: the staff memo on Fannie – talks about “all the years” – she thinks some of the years, she would vote on to make the requisite finding  - not sure this is presented in a form that is easy to vote on – which years they in fact disclosed all the details.  She is not finding that very clear.  BT: so what – we can send too much. BB: saying she cannot find that Fannie may have violated laws with respect to 3Q2008 Form 10Q.  Form 10K there is a problem. PA: when we get there, we can split the motion. BT: why didn’t the staff spend time cleaning it up?  Recommended to dismiss or spend more time dealing with it.  Move b/c irresponsible </w:t>
      </w:r>
    </w:p>
    <w:p w:rsidR="00421B69" w:rsidRDefault="00421B69" w:rsidP="000E127A">
      <w:pPr>
        <w:pStyle w:val="ListParagraph"/>
        <w:ind w:left="360"/>
        <w:rPr>
          <w:i/>
        </w:rPr>
      </w:pPr>
    </w:p>
    <w:p w:rsidR="00421B69" w:rsidRPr="00CF5098" w:rsidRDefault="00421B69" w:rsidP="00421B69">
      <w:pPr>
        <w:spacing w:before="100" w:beforeAutospacing="1" w:after="100" w:afterAutospacing="1"/>
        <w:ind w:left="1440" w:hanging="720"/>
        <w:outlineLvl w:val="0"/>
        <w:rPr>
          <w:b/>
          <w:color w:val="000000"/>
        </w:rPr>
      </w:pPr>
      <w:r w:rsidRPr="00CF5098">
        <w:rPr>
          <w:b/>
          <w:color w:val="000000"/>
        </w:rPr>
        <w:t>1.</w:t>
      </w:r>
      <w:r w:rsidRPr="00CF5098">
        <w:rPr>
          <w:b/>
          <w:color w:val="000000"/>
        </w:rPr>
        <w:tab/>
      </w:r>
      <w:r w:rsidRPr="00CF5098">
        <w:rPr>
          <w:b/>
          <w:color w:val="000000"/>
          <w:u w:val="single"/>
        </w:rPr>
        <w:t>Potential Fraud: False and Misleading Representations about Loan Underwriting Standards by UBS and Other Issuers</w:t>
      </w:r>
    </w:p>
    <w:p w:rsidR="00421B69" w:rsidRDefault="00421B69" w:rsidP="000E127A">
      <w:pPr>
        <w:pStyle w:val="ListParagraph"/>
        <w:ind w:left="360"/>
        <w:rPr>
          <w:i/>
        </w:rPr>
      </w:pPr>
    </w:p>
    <w:p w:rsidR="003D7909" w:rsidRDefault="00522CA3" w:rsidP="003D7909">
      <w:pPr>
        <w:pStyle w:val="ListParagraph"/>
        <w:ind w:left="1080"/>
        <w:rPr>
          <w:b/>
          <w:color w:val="000000"/>
          <w:u w:val="single"/>
        </w:rPr>
      </w:pPr>
      <w:r>
        <w:rPr>
          <w:i/>
        </w:rPr>
        <w:t>Born</w:t>
      </w:r>
      <w:r w:rsidR="003D7909" w:rsidRPr="003D7909">
        <w:rPr>
          <w:i/>
        </w:rPr>
        <w:t xml:space="preserve"> moved and </w:t>
      </w:r>
      <w:r>
        <w:rPr>
          <w:i/>
        </w:rPr>
        <w:t xml:space="preserve">NO SECOND </w:t>
      </w:r>
      <w:r w:rsidR="003D7909" w:rsidRPr="003D7909">
        <w:rPr>
          <w:i/>
        </w:rPr>
        <w:t xml:space="preserve">seconded </w:t>
      </w:r>
      <w:r w:rsidR="003D7909" w:rsidRPr="003D7909">
        <w:rPr>
          <w:i/>
          <w:color w:val="000000"/>
        </w:rPr>
        <w:t>the motion that the Commission finds that the persons described in item 7 may have violated the laws of the United States in relation to the financial crisis and that the Commission refer this to the Attorney General of the United States</w:t>
      </w:r>
      <w:r w:rsidR="003D7909" w:rsidRPr="003D7909">
        <w:rPr>
          <w:b/>
          <w:i/>
          <w:color w:val="000000"/>
        </w:rPr>
        <w:t>:</w:t>
      </w:r>
      <w:r w:rsidR="003D7909" w:rsidRPr="003D7909">
        <w:rPr>
          <w:i/>
          <w:color w:val="000000"/>
        </w:rPr>
        <w:t xml:space="preserve"> </w:t>
      </w:r>
      <w:r w:rsidR="003D7909" w:rsidRPr="003D7909">
        <w:rPr>
          <w:i/>
        </w:rPr>
        <w:t>“</w:t>
      </w:r>
      <w:r w:rsidRPr="00CF5098">
        <w:rPr>
          <w:b/>
          <w:color w:val="000000"/>
          <w:u w:val="single"/>
        </w:rPr>
        <w:t>Potential Fraud: False and Misleading Representations about Loan Underwriting Standards by UBS and Other Issuers</w:t>
      </w:r>
      <w:r>
        <w:rPr>
          <w:b/>
          <w:color w:val="000000"/>
          <w:u w:val="single"/>
        </w:rPr>
        <w:t xml:space="preserve"> – the first 2 alegations in the memo and that Merril Lynch may have violated the laws of the United States. </w:t>
      </w:r>
    </w:p>
    <w:p w:rsidR="00522CA3" w:rsidRDefault="00522CA3" w:rsidP="003D7909">
      <w:pPr>
        <w:pStyle w:val="ListParagraph"/>
        <w:ind w:left="1080"/>
        <w:rPr>
          <w:i/>
        </w:rPr>
      </w:pPr>
    </w:p>
    <w:p w:rsidR="00421B69" w:rsidRPr="005217AA" w:rsidRDefault="00421B69" w:rsidP="00421B69">
      <w:pPr>
        <w:pStyle w:val="ListParagraph"/>
        <w:ind w:left="360"/>
        <w:rPr>
          <w:bCs/>
        </w:rPr>
      </w:pPr>
      <w:r>
        <w:rPr>
          <w:bCs/>
        </w:rPr>
        <w:t>x</w:t>
      </w:r>
      <w:r w:rsidRPr="005217AA">
        <w:rPr>
          <w:bCs/>
        </w:rPr>
        <w:t>Phil Angelides</w:t>
      </w:r>
    </w:p>
    <w:p w:rsidR="00421B69" w:rsidRPr="005217AA" w:rsidRDefault="00421B69" w:rsidP="00421B69">
      <w:pPr>
        <w:pStyle w:val="ListParagraph"/>
        <w:ind w:left="360"/>
        <w:rPr>
          <w:bCs/>
        </w:rPr>
      </w:pPr>
      <w:r>
        <w:rPr>
          <w:bCs/>
        </w:rPr>
        <w:t>x</w:t>
      </w:r>
      <w:r w:rsidRPr="005217AA">
        <w:rPr>
          <w:bCs/>
        </w:rPr>
        <w:t>Bill Thomas</w:t>
      </w:r>
    </w:p>
    <w:p w:rsidR="00421B69" w:rsidRPr="005217AA" w:rsidRDefault="00421B69" w:rsidP="00421B69">
      <w:pPr>
        <w:pStyle w:val="ListParagraph"/>
        <w:ind w:left="360"/>
        <w:rPr>
          <w:bCs/>
        </w:rPr>
      </w:pPr>
      <w:r>
        <w:rPr>
          <w:bCs/>
        </w:rPr>
        <w:lastRenderedPageBreak/>
        <w:t>x</w:t>
      </w:r>
      <w:r w:rsidRPr="005217AA">
        <w:rPr>
          <w:bCs/>
        </w:rPr>
        <w:t>Brooksley Born</w:t>
      </w:r>
    </w:p>
    <w:p w:rsidR="00421B69" w:rsidRPr="005217AA" w:rsidRDefault="00421B69" w:rsidP="00421B69">
      <w:pPr>
        <w:pStyle w:val="ListParagraph"/>
        <w:ind w:left="360"/>
        <w:rPr>
          <w:bCs/>
        </w:rPr>
      </w:pPr>
      <w:r>
        <w:rPr>
          <w:bCs/>
        </w:rPr>
        <w:t>x</w:t>
      </w:r>
      <w:r w:rsidRPr="005217AA">
        <w:rPr>
          <w:bCs/>
        </w:rPr>
        <w:t>Byron Georgiou</w:t>
      </w:r>
    </w:p>
    <w:p w:rsidR="00421B69" w:rsidRPr="005217AA" w:rsidRDefault="00421B69" w:rsidP="00421B69">
      <w:pPr>
        <w:pStyle w:val="ListParagraph"/>
        <w:ind w:left="360"/>
        <w:rPr>
          <w:bCs/>
        </w:rPr>
      </w:pPr>
      <w:r>
        <w:rPr>
          <w:bCs/>
        </w:rPr>
        <w:t>--</w:t>
      </w:r>
      <w:r w:rsidRPr="005217AA">
        <w:rPr>
          <w:bCs/>
        </w:rPr>
        <w:t>Robert Graham</w:t>
      </w:r>
      <w:r>
        <w:rPr>
          <w:bCs/>
        </w:rPr>
        <w:t xml:space="preserve"> (absent)</w:t>
      </w:r>
    </w:p>
    <w:p w:rsidR="00421B69" w:rsidRPr="00421B69" w:rsidRDefault="00366DE0" w:rsidP="00421B69">
      <w:pPr>
        <w:pStyle w:val="ListParagraph"/>
        <w:ind w:left="360"/>
        <w:rPr>
          <w:b/>
          <w:bCs/>
        </w:rPr>
      </w:pPr>
      <w:r>
        <w:rPr>
          <w:bCs/>
        </w:rPr>
        <w:t>xx</w:t>
      </w:r>
      <w:r w:rsidR="00421B69" w:rsidRPr="005217AA">
        <w:rPr>
          <w:bCs/>
        </w:rPr>
        <w:t>Keith Hennessey</w:t>
      </w:r>
      <w:r w:rsidR="00421B69">
        <w:rPr>
          <w:bCs/>
        </w:rPr>
        <w:t xml:space="preserve"> </w:t>
      </w:r>
    </w:p>
    <w:p w:rsidR="00421B69" w:rsidRPr="005217AA" w:rsidRDefault="00421B69" w:rsidP="00421B69">
      <w:pPr>
        <w:pStyle w:val="ListParagraph"/>
        <w:ind w:left="360"/>
        <w:rPr>
          <w:bCs/>
        </w:rPr>
      </w:pPr>
      <w:r>
        <w:rPr>
          <w:bCs/>
        </w:rPr>
        <w:t>x</w:t>
      </w:r>
      <w:r w:rsidRPr="005217AA">
        <w:rPr>
          <w:bCs/>
        </w:rPr>
        <w:t>Doug Holtz-Eakin</w:t>
      </w:r>
    </w:p>
    <w:p w:rsidR="00421B69" w:rsidRPr="005217AA" w:rsidRDefault="00421B69" w:rsidP="00421B69">
      <w:pPr>
        <w:pStyle w:val="ListParagraph"/>
        <w:ind w:left="360"/>
        <w:rPr>
          <w:bCs/>
        </w:rPr>
      </w:pPr>
      <w:r>
        <w:rPr>
          <w:bCs/>
        </w:rPr>
        <w:t>x</w:t>
      </w:r>
      <w:r w:rsidRPr="005217AA">
        <w:rPr>
          <w:bCs/>
        </w:rPr>
        <w:t>Heather Murren</w:t>
      </w:r>
    </w:p>
    <w:p w:rsidR="00421B69" w:rsidRPr="005217AA" w:rsidRDefault="00421B69" w:rsidP="00421B69">
      <w:pPr>
        <w:pStyle w:val="ListParagraph"/>
        <w:ind w:left="360"/>
        <w:rPr>
          <w:bCs/>
        </w:rPr>
      </w:pPr>
      <w:r>
        <w:rPr>
          <w:bCs/>
        </w:rPr>
        <w:t>x</w:t>
      </w:r>
      <w:r w:rsidRPr="005217AA">
        <w:rPr>
          <w:bCs/>
        </w:rPr>
        <w:t>John W. Thompson</w:t>
      </w:r>
    </w:p>
    <w:p w:rsidR="00421B69" w:rsidRDefault="00421B69" w:rsidP="00421B69">
      <w:pPr>
        <w:pStyle w:val="ListParagraph"/>
        <w:ind w:left="360"/>
        <w:rPr>
          <w:bCs/>
        </w:rPr>
      </w:pPr>
      <w:r>
        <w:rPr>
          <w:bCs/>
        </w:rPr>
        <w:t>x</w:t>
      </w:r>
      <w:r w:rsidRPr="005217AA">
        <w:rPr>
          <w:bCs/>
        </w:rPr>
        <w:t>Peter Wallison</w:t>
      </w:r>
    </w:p>
    <w:p w:rsidR="00421B69" w:rsidRPr="00421B69" w:rsidRDefault="00421B69" w:rsidP="000E127A">
      <w:pPr>
        <w:pStyle w:val="ListParagraph"/>
        <w:ind w:left="360"/>
      </w:pPr>
    </w:p>
    <w:p w:rsidR="00421B69" w:rsidRPr="00CF5098" w:rsidRDefault="00421B69" w:rsidP="00421B69">
      <w:pPr>
        <w:spacing w:before="100" w:beforeAutospacing="1" w:after="100" w:afterAutospacing="1"/>
        <w:ind w:firstLine="720"/>
        <w:outlineLvl w:val="0"/>
        <w:rPr>
          <w:b/>
          <w:color w:val="000000"/>
          <w:u w:val="single"/>
        </w:rPr>
      </w:pPr>
      <w:r>
        <w:rPr>
          <w:b/>
          <w:color w:val="000000"/>
        </w:rPr>
        <w:t>2</w:t>
      </w:r>
      <w:r w:rsidRPr="00CF5098">
        <w:rPr>
          <w:b/>
          <w:color w:val="000000"/>
        </w:rPr>
        <w:t>.</w:t>
      </w:r>
      <w:r w:rsidRPr="00CF5098">
        <w:rPr>
          <w:b/>
          <w:color w:val="000000"/>
        </w:rPr>
        <w:tab/>
      </w:r>
      <w:r w:rsidRPr="00CF5098">
        <w:rPr>
          <w:b/>
          <w:color w:val="000000"/>
          <w:u w:val="single"/>
        </w:rPr>
        <w:t>Potential Accounting Fraud and False Certifications: Fannie Mae</w:t>
      </w:r>
    </w:p>
    <w:p w:rsidR="000E127A" w:rsidRDefault="000E127A" w:rsidP="000E127A">
      <w:pPr>
        <w:pStyle w:val="ListParagraph"/>
        <w:ind w:left="360"/>
        <w:rPr>
          <w:b/>
        </w:rPr>
      </w:pPr>
    </w:p>
    <w:p w:rsidR="00421B69" w:rsidRDefault="00421B69" w:rsidP="00421B69">
      <w:pPr>
        <w:pStyle w:val="ListParagraph"/>
        <w:ind w:left="1440" w:hanging="360"/>
        <w:rPr>
          <w:b/>
          <w:color w:val="000000"/>
          <w:u w:val="single"/>
        </w:rPr>
      </w:pPr>
      <w:r>
        <w:rPr>
          <w:b/>
          <w:color w:val="000000"/>
          <w:u w:val="single"/>
        </w:rPr>
        <w:t xml:space="preserve">3. </w:t>
      </w:r>
      <w:r>
        <w:rPr>
          <w:b/>
          <w:color w:val="000000"/>
          <w:u w:val="single"/>
        </w:rPr>
        <w:tab/>
      </w:r>
      <w:r w:rsidRPr="00237D5A">
        <w:rPr>
          <w:b/>
          <w:color w:val="000000"/>
          <w:u w:val="single"/>
        </w:rPr>
        <w:t>Moody’s Appears to Have Made</w:t>
      </w:r>
      <w:r w:rsidRPr="00464A4E">
        <w:rPr>
          <w:b/>
          <w:color w:val="000000"/>
          <w:u w:val="single"/>
        </w:rPr>
        <w:t xml:space="preserve"> Selective Disclosures of Imminent Ratings Downgrades; UBS and Possibly Other Recipients of this Information Fail to Disclose Upcoming Downgrades to Purchasers of Their Securities</w:t>
      </w:r>
    </w:p>
    <w:p w:rsidR="00421B69" w:rsidRDefault="00421B69" w:rsidP="00421B69">
      <w:pPr>
        <w:pStyle w:val="ListParagraph"/>
        <w:ind w:left="1440" w:hanging="360"/>
        <w:rPr>
          <w:b/>
          <w:color w:val="000000"/>
          <w:u w:val="single"/>
        </w:rPr>
      </w:pPr>
    </w:p>
    <w:p w:rsidR="00386AC9" w:rsidRDefault="00522CA3" w:rsidP="00522CA3">
      <w:pPr>
        <w:pStyle w:val="ListParagraph"/>
        <w:ind w:left="1080"/>
        <w:rPr>
          <w:b/>
          <w:color w:val="000000"/>
          <w:u w:val="single"/>
        </w:rPr>
      </w:pPr>
      <w:r>
        <w:rPr>
          <w:i/>
        </w:rPr>
        <w:t>Wallison</w:t>
      </w:r>
      <w:r w:rsidRPr="003D7909">
        <w:rPr>
          <w:i/>
        </w:rPr>
        <w:t xml:space="preserve"> moved and </w:t>
      </w:r>
      <w:r>
        <w:rPr>
          <w:i/>
        </w:rPr>
        <w:t xml:space="preserve">Thomas </w:t>
      </w:r>
      <w:r w:rsidRPr="003D7909">
        <w:rPr>
          <w:i/>
        </w:rPr>
        <w:t xml:space="preserve">seconded </w:t>
      </w:r>
      <w:r w:rsidRPr="003D7909">
        <w:rPr>
          <w:i/>
          <w:color w:val="000000"/>
        </w:rPr>
        <w:t>the motion that the Commission finds that the persons described in item 7 may have violated the laws of the United States in relation to the financial crisis and that the Commission refer this to the Attorney General of the United States</w:t>
      </w:r>
      <w:r w:rsidRPr="003D7909">
        <w:rPr>
          <w:b/>
          <w:i/>
          <w:color w:val="000000"/>
        </w:rPr>
        <w:t>:</w:t>
      </w:r>
      <w:r w:rsidRPr="003D7909">
        <w:rPr>
          <w:i/>
          <w:color w:val="000000"/>
        </w:rPr>
        <w:t xml:space="preserve"> </w:t>
      </w:r>
      <w:r w:rsidRPr="003D7909">
        <w:rPr>
          <w:i/>
        </w:rPr>
        <w:t>“</w:t>
      </w:r>
      <w:r>
        <w:rPr>
          <w:b/>
          <w:color w:val="000000"/>
          <w:u w:val="single"/>
        </w:rPr>
        <w:t xml:space="preserve">refer all years ?  BB: does see basis for finding that Fannie may have violated laws of the United States in 2004 and 2005 not 06-08. </w:t>
      </w:r>
      <w:r w:rsidR="00386AC9">
        <w:rPr>
          <w:b/>
          <w:color w:val="000000"/>
          <w:u w:val="single"/>
        </w:rPr>
        <w:t xml:space="preserve"> </w:t>
      </w:r>
    </w:p>
    <w:p w:rsidR="00386AC9" w:rsidRDefault="00386AC9" w:rsidP="00522CA3">
      <w:pPr>
        <w:pStyle w:val="ListParagraph"/>
        <w:ind w:left="1080"/>
        <w:rPr>
          <w:b/>
          <w:color w:val="000000"/>
          <w:u w:val="single"/>
        </w:rPr>
      </w:pPr>
    </w:p>
    <w:p w:rsidR="00522CA3" w:rsidRDefault="00386AC9" w:rsidP="00522CA3">
      <w:pPr>
        <w:pStyle w:val="ListParagraph"/>
        <w:ind w:left="1080"/>
        <w:rPr>
          <w:b/>
          <w:color w:val="000000"/>
          <w:u w:val="single"/>
        </w:rPr>
      </w:pPr>
      <w:r>
        <w:rPr>
          <w:b/>
          <w:color w:val="000000"/>
          <w:u w:val="single"/>
        </w:rPr>
        <w:t xml:space="preserve">Byron – substitute motion – submit Fannie and Merrill motions and other matters recommended . Murren seconds. Other Movers to consider this motion.  PW didn’t read the memo so he won’t vote on Merrill memo. Chairman divides the motion. </w:t>
      </w:r>
      <w:r w:rsidR="00522CA3">
        <w:rPr>
          <w:b/>
          <w:color w:val="000000"/>
          <w:u w:val="single"/>
        </w:rPr>
        <w:t xml:space="preserve"> </w:t>
      </w:r>
    </w:p>
    <w:p w:rsidR="00522CA3" w:rsidRDefault="00522CA3" w:rsidP="00522CA3">
      <w:pPr>
        <w:pStyle w:val="ListParagraph"/>
        <w:ind w:left="1080"/>
        <w:rPr>
          <w:i/>
        </w:rPr>
      </w:pPr>
    </w:p>
    <w:p w:rsidR="00386AC9" w:rsidRPr="00386AC9" w:rsidRDefault="00386AC9" w:rsidP="00522CA3">
      <w:pPr>
        <w:pStyle w:val="ListParagraph"/>
        <w:ind w:left="360"/>
        <w:rPr>
          <w:b/>
          <w:bCs/>
          <w:u w:val="single"/>
        </w:rPr>
      </w:pPr>
      <w:r>
        <w:rPr>
          <w:bCs/>
        </w:rPr>
        <w:tab/>
      </w:r>
      <w:r w:rsidRPr="00386AC9">
        <w:rPr>
          <w:b/>
          <w:bCs/>
          <w:u w:val="single"/>
        </w:rPr>
        <w:t>Merrill:</w:t>
      </w:r>
    </w:p>
    <w:p w:rsidR="00522CA3" w:rsidRPr="005217AA" w:rsidRDefault="00386AC9" w:rsidP="00522CA3">
      <w:pPr>
        <w:pStyle w:val="ListParagraph"/>
        <w:ind w:left="360"/>
        <w:rPr>
          <w:bCs/>
        </w:rPr>
      </w:pPr>
      <w:r>
        <w:rPr>
          <w:bCs/>
        </w:rPr>
        <w:t xml:space="preserve">Yes </w:t>
      </w:r>
      <w:r w:rsidR="00522CA3" w:rsidRPr="005217AA">
        <w:rPr>
          <w:bCs/>
        </w:rPr>
        <w:t>Phil Angelides</w:t>
      </w:r>
    </w:p>
    <w:p w:rsidR="00522CA3" w:rsidRPr="00386AC9" w:rsidRDefault="00386AC9" w:rsidP="00386AC9">
      <w:pPr>
        <w:pStyle w:val="ListParagraph"/>
        <w:ind w:left="360"/>
        <w:rPr>
          <w:bCs/>
        </w:rPr>
      </w:pPr>
      <w:r>
        <w:rPr>
          <w:bCs/>
        </w:rPr>
        <w:t xml:space="preserve">Yes </w:t>
      </w:r>
      <w:r w:rsidR="00522CA3" w:rsidRPr="00386AC9">
        <w:rPr>
          <w:bCs/>
        </w:rPr>
        <w:t>Bill Thomas</w:t>
      </w:r>
    </w:p>
    <w:p w:rsidR="00522CA3" w:rsidRPr="005217AA" w:rsidRDefault="00386AC9" w:rsidP="00522CA3">
      <w:pPr>
        <w:pStyle w:val="ListParagraph"/>
        <w:ind w:left="360"/>
        <w:rPr>
          <w:bCs/>
        </w:rPr>
      </w:pPr>
      <w:r>
        <w:rPr>
          <w:bCs/>
        </w:rPr>
        <w:t xml:space="preserve">Yes </w:t>
      </w:r>
      <w:r w:rsidR="00522CA3" w:rsidRPr="005217AA">
        <w:rPr>
          <w:bCs/>
        </w:rPr>
        <w:t>Brooksley Born</w:t>
      </w:r>
    </w:p>
    <w:p w:rsidR="00522CA3" w:rsidRPr="005217AA" w:rsidRDefault="00386AC9" w:rsidP="00522CA3">
      <w:pPr>
        <w:pStyle w:val="ListParagraph"/>
        <w:ind w:left="360"/>
        <w:rPr>
          <w:bCs/>
        </w:rPr>
      </w:pPr>
      <w:r>
        <w:rPr>
          <w:bCs/>
        </w:rPr>
        <w:t xml:space="preserve">Yes </w:t>
      </w:r>
      <w:r w:rsidR="00522CA3" w:rsidRPr="005217AA">
        <w:rPr>
          <w:bCs/>
        </w:rPr>
        <w:t>Byron Georgiou</w:t>
      </w:r>
    </w:p>
    <w:p w:rsidR="00522CA3" w:rsidRPr="005217AA" w:rsidRDefault="00522CA3" w:rsidP="00522CA3">
      <w:pPr>
        <w:pStyle w:val="ListParagraph"/>
        <w:ind w:left="360"/>
        <w:rPr>
          <w:bCs/>
        </w:rPr>
      </w:pPr>
      <w:r>
        <w:rPr>
          <w:bCs/>
        </w:rPr>
        <w:t>--</w:t>
      </w:r>
      <w:r w:rsidRPr="005217AA">
        <w:rPr>
          <w:bCs/>
        </w:rPr>
        <w:t>Robert Graham</w:t>
      </w:r>
      <w:r>
        <w:rPr>
          <w:bCs/>
        </w:rPr>
        <w:t xml:space="preserve"> (absent)</w:t>
      </w:r>
    </w:p>
    <w:p w:rsidR="00522CA3" w:rsidRPr="00421B69" w:rsidRDefault="00386AC9" w:rsidP="00522CA3">
      <w:pPr>
        <w:pStyle w:val="ListParagraph"/>
        <w:ind w:left="360"/>
        <w:rPr>
          <w:b/>
          <w:bCs/>
        </w:rPr>
      </w:pPr>
      <w:r>
        <w:rPr>
          <w:bCs/>
        </w:rPr>
        <w:t xml:space="preserve">No </w:t>
      </w:r>
      <w:r w:rsidR="00522CA3" w:rsidRPr="005217AA">
        <w:rPr>
          <w:bCs/>
        </w:rPr>
        <w:t>Keith Hennessey</w:t>
      </w:r>
      <w:r w:rsidR="00522CA3">
        <w:rPr>
          <w:bCs/>
        </w:rPr>
        <w:t xml:space="preserve"> </w:t>
      </w:r>
    </w:p>
    <w:p w:rsidR="00522CA3" w:rsidRPr="005217AA" w:rsidRDefault="00386AC9" w:rsidP="00522CA3">
      <w:pPr>
        <w:pStyle w:val="ListParagraph"/>
        <w:ind w:left="360"/>
        <w:rPr>
          <w:bCs/>
        </w:rPr>
      </w:pPr>
      <w:r>
        <w:rPr>
          <w:bCs/>
        </w:rPr>
        <w:t xml:space="preserve">Absent </w:t>
      </w:r>
      <w:r w:rsidR="00522CA3" w:rsidRPr="005217AA">
        <w:rPr>
          <w:bCs/>
        </w:rPr>
        <w:t>Doug Holtz-Eakin</w:t>
      </w:r>
    </w:p>
    <w:p w:rsidR="00522CA3" w:rsidRPr="005217AA" w:rsidRDefault="00386AC9" w:rsidP="00522CA3">
      <w:pPr>
        <w:pStyle w:val="ListParagraph"/>
        <w:ind w:left="360"/>
        <w:rPr>
          <w:bCs/>
        </w:rPr>
      </w:pPr>
      <w:r>
        <w:rPr>
          <w:bCs/>
        </w:rPr>
        <w:t xml:space="preserve">Yes </w:t>
      </w:r>
      <w:r w:rsidR="00522CA3" w:rsidRPr="005217AA">
        <w:rPr>
          <w:bCs/>
        </w:rPr>
        <w:t>Heather Murren</w:t>
      </w:r>
    </w:p>
    <w:p w:rsidR="00522CA3" w:rsidRPr="005217AA" w:rsidRDefault="00386AC9" w:rsidP="00522CA3">
      <w:pPr>
        <w:pStyle w:val="ListParagraph"/>
        <w:ind w:left="360"/>
        <w:rPr>
          <w:bCs/>
        </w:rPr>
      </w:pPr>
      <w:r>
        <w:rPr>
          <w:bCs/>
        </w:rPr>
        <w:t xml:space="preserve">Yes </w:t>
      </w:r>
      <w:r w:rsidR="00522CA3" w:rsidRPr="005217AA">
        <w:rPr>
          <w:bCs/>
        </w:rPr>
        <w:t>John W. Thompson</w:t>
      </w:r>
    </w:p>
    <w:p w:rsidR="00522CA3" w:rsidRDefault="00386AC9" w:rsidP="00522CA3">
      <w:pPr>
        <w:pStyle w:val="ListParagraph"/>
        <w:ind w:left="360"/>
        <w:rPr>
          <w:bCs/>
        </w:rPr>
      </w:pPr>
      <w:r>
        <w:rPr>
          <w:bCs/>
        </w:rPr>
        <w:t xml:space="preserve">Present. </w:t>
      </w:r>
      <w:r w:rsidR="00522CA3" w:rsidRPr="005217AA">
        <w:rPr>
          <w:bCs/>
        </w:rPr>
        <w:t>Peter Wallison</w:t>
      </w:r>
    </w:p>
    <w:p w:rsidR="00421B69" w:rsidRDefault="00421B69" w:rsidP="00421B69">
      <w:pPr>
        <w:pStyle w:val="ListParagraph"/>
        <w:ind w:left="1440" w:hanging="360"/>
      </w:pPr>
    </w:p>
    <w:p w:rsidR="00386AC9" w:rsidRDefault="00386AC9" w:rsidP="00421B69">
      <w:pPr>
        <w:pStyle w:val="ListParagraph"/>
        <w:ind w:left="1440" w:hanging="360"/>
      </w:pPr>
    </w:p>
    <w:p w:rsidR="00386AC9" w:rsidRPr="00386AC9" w:rsidRDefault="00386AC9" w:rsidP="00386AC9">
      <w:pPr>
        <w:pStyle w:val="ListParagraph"/>
        <w:ind w:left="1080"/>
        <w:rPr>
          <w:b/>
          <w:i/>
          <w:u w:val="single"/>
        </w:rPr>
      </w:pPr>
      <w:r w:rsidRPr="00386AC9">
        <w:rPr>
          <w:b/>
          <w:i/>
          <w:u w:val="single"/>
        </w:rPr>
        <w:t>FANNIE</w:t>
      </w:r>
    </w:p>
    <w:p w:rsidR="00386AC9" w:rsidRPr="005217AA" w:rsidRDefault="00386AC9" w:rsidP="00386AC9">
      <w:pPr>
        <w:pStyle w:val="ListParagraph"/>
        <w:ind w:left="360"/>
        <w:rPr>
          <w:bCs/>
        </w:rPr>
      </w:pPr>
      <w:r>
        <w:rPr>
          <w:bCs/>
        </w:rPr>
        <w:t xml:space="preserve">Yes </w:t>
      </w:r>
      <w:r w:rsidRPr="005217AA">
        <w:rPr>
          <w:bCs/>
        </w:rPr>
        <w:t>Phil Angelides</w:t>
      </w:r>
    </w:p>
    <w:p w:rsidR="00386AC9" w:rsidRPr="00386AC9" w:rsidRDefault="00386AC9" w:rsidP="00386AC9">
      <w:pPr>
        <w:pStyle w:val="ListParagraph"/>
        <w:ind w:left="360"/>
        <w:rPr>
          <w:bCs/>
        </w:rPr>
      </w:pPr>
      <w:r>
        <w:rPr>
          <w:bCs/>
        </w:rPr>
        <w:t xml:space="preserve">Yes </w:t>
      </w:r>
      <w:r w:rsidRPr="00386AC9">
        <w:rPr>
          <w:bCs/>
        </w:rPr>
        <w:t>Bill Thomas</w:t>
      </w:r>
    </w:p>
    <w:p w:rsidR="00386AC9" w:rsidRPr="005217AA" w:rsidRDefault="00386AC9" w:rsidP="00386AC9">
      <w:pPr>
        <w:pStyle w:val="ListParagraph"/>
        <w:ind w:left="360"/>
        <w:rPr>
          <w:bCs/>
        </w:rPr>
      </w:pPr>
      <w:r>
        <w:rPr>
          <w:bCs/>
        </w:rPr>
        <w:t xml:space="preserve">Yes </w:t>
      </w:r>
      <w:r w:rsidRPr="005217AA">
        <w:rPr>
          <w:bCs/>
        </w:rPr>
        <w:t>Brooksley Born</w:t>
      </w:r>
    </w:p>
    <w:p w:rsidR="00386AC9" w:rsidRPr="005217AA" w:rsidRDefault="00386AC9" w:rsidP="00386AC9">
      <w:pPr>
        <w:pStyle w:val="ListParagraph"/>
        <w:ind w:left="360"/>
        <w:rPr>
          <w:bCs/>
        </w:rPr>
      </w:pPr>
      <w:r>
        <w:rPr>
          <w:bCs/>
        </w:rPr>
        <w:t xml:space="preserve">Yes </w:t>
      </w:r>
      <w:r w:rsidRPr="005217AA">
        <w:rPr>
          <w:bCs/>
        </w:rPr>
        <w:t>Byron Georgiou</w:t>
      </w:r>
    </w:p>
    <w:p w:rsidR="00386AC9" w:rsidRPr="005217AA" w:rsidRDefault="00386AC9" w:rsidP="00386AC9">
      <w:pPr>
        <w:pStyle w:val="ListParagraph"/>
        <w:ind w:left="360"/>
        <w:rPr>
          <w:bCs/>
        </w:rPr>
      </w:pPr>
      <w:r>
        <w:rPr>
          <w:bCs/>
        </w:rPr>
        <w:t>--</w:t>
      </w:r>
      <w:r w:rsidRPr="005217AA">
        <w:rPr>
          <w:bCs/>
        </w:rPr>
        <w:t>Robert Graham</w:t>
      </w:r>
      <w:r>
        <w:rPr>
          <w:bCs/>
        </w:rPr>
        <w:t xml:space="preserve"> (absent)</w:t>
      </w:r>
    </w:p>
    <w:p w:rsidR="00386AC9" w:rsidRPr="00421B69" w:rsidRDefault="00386AC9" w:rsidP="00386AC9">
      <w:pPr>
        <w:pStyle w:val="ListParagraph"/>
        <w:ind w:left="360"/>
        <w:rPr>
          <w:b/>
          <w:bCs/>
        </w:rPr>
      </w:pPr>
      <w:r>
        <w:rPr>
          <w:bCs/>
        </w:rPr>
        <w:t xml:space="preserve">No </w:t>
      </w:r>
      <w:r w:rsidRPr="005217AA">
        <w:rPr>
          <w:bCs/>
        </w:rPr>
        <w:t>Keith Hennessey</w:t>
      </w:r>
      <w:r>
        <w:rPr>
          <w:bCs/>
        </w:rPr>
        <w:t xml:space="preserve"> </w:t>
      </w:r>
    </w:p>
    <w:p w:rsidR="00386AC9" w:rsidRPr="005217AA" w:rsidRDefault="00386AC9" w:rsidP="00386AC9">
      <w:pPr>
        <w:pStyle w:val="ListParagraph"/>
        <w:ind w:left="360"/>
        <w:rPr>
          <w:bCs/>
        </w:rPr>
      </w:pPr>
      <w:r>
        <w:rPr>
          <w:bCs/>
        </w:rPr>
        <w:lastRenderedPageBreak/>
        <w:t xml:space="preserve">Absent </w:t>
      </w:r>
      <w:r w:rsidRPr="005217AA">
        <w:rPr>
          <w:bCs/>
        </w:rPr>
        <w:t>Doug Holtz-Eakin</w:t>
      </w:r>
    </w:p>
    <w:p w:rsidR="00386AC9" w:rsidRPr="005217AA" w:rsidRDefault="00386AC9" w:rsidP="00386AC9">
      <w:pPr>
        <w:pStyle w:val="ListParagraph"/>
        <w:ind w:left="360"/>
        <w:rPr>
          <w:bCs/>
        </w:rPr>
      </w:pPr>
      <w:r>
        <w:rPr>
          <w:bCs/>
        </w:rPr>
        <w:t xml:space="preserve">Yes </w:t>
      </w:r>
      <w:r w:rsidRPr="005217AA">
        <w:rPr>
          <w:bCs/>
        </w:rPr>
        <w:t>Heather Murren</w:t>
      </w:r>
    </w:p>
    <w:p w:rsidR="00386AC9" w:rsidRPr="005217AA" w:rsidRDefault="00386AC9" w:rsidP="00386AC9">
      <w:pPr>
        <w:pStyle w:val="ListParagraph"/>
        <w:ind w:left="360"/>
        <w:rPr>
          <w:bCs/>
        </w:rPr>
      </w:pPr>
      <w:r>
        <w:rPr>
          <w:bCs/>
        </w:rPr>
        <w:t xml:space="preserve">Yes </w:t>
      </w:r>
      <w:r w:rsidRPr="005217AA">
        <w:rPr>
          <w:bCs/>
        </w:rPr>
        <w:t>John W. Thompson</w:t>
      </w:r>
    </w:p>
    <w:p w:rsidR="00386AC9" w:rsidRDefault="00386AC9" w:rsidP="00386AC9">
      <w:pPr>
        <w:pStyle w:val="ListParagraph"/>
        <w:ind w:left="360"/>
        <w:rPr>
          <w:bCs/>
        </w:rPr>
      </w:pPr>
      <w:r>
        <w:rPr>
          <w:bCs/>
        </w:rPr>
        <w:t xml:space="preserve">Yes.  </w:t>
      </w:r>
      <w:r w:rsidRPr="005217AA">
        <w:rPr>
          <w:bCs/>
        </w:rPr>
        <w:t>Peter Wallison</w:t>
      </w:r>
    </w:p>
    <w:p w:rsidR="00386AC9" w:rsidRPr="00076DC0" w:rsidRDefault="00386AC9" w:rsidP="00421B69">
      <w:pPr>
        <w:pStyle w:val="ListParagraph"/>
        <w:ind w:left="1440" w:hanging="360"/>
        <w:rPr>
          <w:b/>
        </w:rPr>
      </w:pPr>
    </w:p>
    <w:p w:rsidR="00864411" w:rsidRPr="008C737C" w:rsidRDefault="00864411" w:rsidP="00864411">
      <w:pPr>
        <w:pStyle w:val="ListParagraph"/>
        <w:numPr>
          <w:ilvl w:val="0"/>
          <w:numId w:val="6"/>
        </w:numPr>
        <w:ind w:left="360"/>
        <w:rPr>
          <w:b/>
        </w:rPr>
      </w:pPr>
      <w:r>
        <w:rPr>
          <w:b/>
          <w:color w:val="000000"/>
        </w:rPr>
        <w:t>Clayton and Moody’s Letters</w:t>
      </w:r>
      <w:r>
        <w:rPr>
          <w:b/>
          <w:color w:val="000000"/>
        </w:rPr>
        <w:tab/>
      </w:r>
      <w:r>
        <w:rPr>
          <w:b/>
          <w:color w:val="000000"/>
        </w:rPr>
        <w:tab/>
      </w:r>
      <w:r>
        <w:rPr>
          <w:b/>
          <w:color w:val="000000"/>
        </w:rPr>
        <w:tab/>
      </w:r>
      <w:r>
        <w:rPr>
          <w:b/>
        </w:rPr>
        <w:t>Chairman Angelides,</w:t>
      </w:r>
      <w:r w:rsidRPr="008C737C">
        <w:rPr>
          <w:b/>
        </w:rPr>
        <w:t xml:space="preserve"> </w:t>
      </w:r>
    </w:p>
    <w:p w:rsidR="00A50E77" w:rsidRDefault="00162296">
      <w:pPr>
        <w:ind w:left="360"/>
        <w:outlineLvl w:val="0"/>
        <w:rPr>
          <w:b/>
        </w:rPr>
      </w:pPr>
      <w:r w:rsidRPr="00D41759">
        <w:rPr>
          <w:i/>
        </w:rPr>
        <w:t>(see attached PDF)</w:t>
      </w:r>
      <w:r w:rsidRPr="00D41759">
        <w:rPr>
          <w:b/>
        </w:rPr>
        <w:tab/>
      </w:r>
      <w:r>
        <w:rPr>
          <w:b/>
        </w:rPr>
        <w:tab/>
      </w:r>
      <w:r>
        <w:rPr>
          <w:b/>
        </w:rPr>
        <w:tab/>
      </w:r>
      <w:r>
        <w:rPr>
          <w:b/>
        </w:rPr>
        <w:tab/>
      </w:r>
      <w:r w:rsidR="00B06CB8" w:rsidRPr="00B06CB8">
        <w:rPr>
          <w:b/>
        </w:rPr>
        <w:t xml:space="preserve">Vice-Chairman Thomas, and </w:t>
      </w:r>
    </w:p>
    <w:p w:rsidR="00B06CB8" w:rsidRDefault="00864411" w:rsidP="00B06CB8">
      <w:pPr>
        <w:pStyle w:val="ListParagraph"/>
        <w:ind w:left="360"/>
        <w:rPr>
          <w:b/>
        </w:rPr>
      </w:pPr>
      <w:r>
        <w:rPr>
          <w:b/>
        </w:rPr>
        <w:tab/>
      </w:r>
      <w:r>
        <w:rPr>
          <w:b/>
        </w:rPr>
        <w:tab/>
      </w:r>
      <w:r>
        <w:rPr>
          <w:b/>
        </w:rPr>
        <w:tab/>
      </w:r>
      <w:r>
        <w:rPr>
          <w:b/>
        </w:rPr>
        <w:tab/>
      </w:r>
      <w:r>
        <w:rPr>
          <w:b/>
        </w:rPr>
        <w:tab/>
      </w:r>
      <w:r>
        <w:rPr>
          <w:b/>
        </w:rPr>
        <w:tab/>
      </w:r>
      <w:r w:rsidR="00D41759">
        <w:rPr>
          <w:b/>
        </w:rPr>
        <w:tab/>
      </w:r>
      <w:r w:rsidR="00162296">
        <w:rPr>
          <w:b/>
        </w:rPr>
        <w:t xml:space="preserve">Wendy Edelberg and </w:t>
      </w:r>
      <w:r>
        <w:rPr>
          <w:b/>
        </w:rPr>
        <w:t>Gary Cohen</w:t>
      </w:r>
    </w:p>
    <w:p w:rsidR="00B06CB8" w:rsidRPr="0029378C" w:rsidRDefault="00B06CB8">
      <w:pPr>
        <w:pStyle w:val="ListParagraph"/>
        <w:ind w:left="360"/>
      </w:pPr>
    </w:p>
    <w:p w:rsidR="00386AC9" w:rsidRPr="0029378C" w:rsidRDefault="00386AC9" w:rsidP="0029378C">
      <w:pPr>
        <w:pStyle w:val="ListParagraph"/>
      </w:pPr>
      <w:r w:rsidRPr="0029378C">
        <w:t>BT: let’s talk about the sequence that got us into this.  Staff spending a lot of time on this. One point of view expressed – forced to submit alternate views.  Detailed analysis from staff – include in field hearing transcript – they didn’t get opportunity to .  PA: Vicki Beal was their designated rep – upon receiveing letter- PA handed to staff to tell us what the facts are.  Issue – enter Clayton letter into the record. Not Moody’s. BT: New York Times fed information. PA: not provided additional info.</w:t>
      </w:r>
    </w:p>
    <w:p w:rsidR="00386AC9" w:rsidRPr="0029378C" w:rsidRDefault="00386AC9">
      <w:pPr>
        <w:pStyle w:val="ListParagraph"/>
        <w:ind w:left="360"/>
      </w:pPr>
    </w:p>
    <w:p w:rsidR="00386AC9" w:rsidRPr="0029378C" w:rsidRDefault="00386AC9" w:rsidP="0029378C">
      <w:pPr>
        <w:pStyle w:val="ListParagraph"/>
      </w:pPr>
      <w:r w:rsidRPr="0029378C">
        <w:t>Interest in adding Clayton letter to the record?  BT: why wouldn’t we? Gary – PA and BT can enter the Clayton letter into the record.  Both agree.</w:t>
      </w:r>
    </w:p>
    <w:p w:rsidR="00386AC9" w:rsidRPr="0029378C" w:rsidRDefault="00386AC9">
      <w:pPr>
        <w:pStyle w:val="ListParagraph"/>
        <w:ind w:left="360"/>
      </w:pPr>
    </w:p>
    <w:p w:rsidR="00386AC9" w:rsidRPr="0029378C" w:rsidRDefault="00386AC9" w:rsidP="0029378C">
      <w:pPr>
        <w:pStyle w:val="ListParagraph"/>
        <w:ind w:left="360" w:firstLine="360"/>
      </w:pPr>
      <w:r w:rsidRPr="0029378C">
        <w:t>The Moody’s letter.  PA: no – not our business. BT: not really relevant.</w:t>
      </w:r>
      <w:r w:rsidR="0029378C">
        <w:t xml:space="preserve"> Both agree to not put into the record.</w:t>
      </w:r>
      <w:r w:rsidRPr="0029378C">
        <w:t xml:space="preserve"> </w:t>
      </w:r>
    </w:p>
    <w:p w:rsidR="00386AC9" w:rsidRPr="0029378C" w:rsidRDefault="00386AC9" w:rsidP="0029378C">
      <w:pPr>
        <w:pStyle w:val="ListParagraph"/>
      </w:pPr>
      <w:r w:rsidRPr="0029378C">
        <w:t xml:space="preserve">Born: we’ve gotten letters from a lot of entities disagreeing with testimony. Assumed it was part of our record – not part of hearing. </w:t>
      </w:r>
      <w:r w:rsidR="0029378C" w:rsidRPr="0029378C">
        <w:t xml:space="preserve"> Include them in our archives. </w:t>
      </w:r>
    </w:p>
    <w:p w:rsidR="00386AC9" w:rsidRDefault="00386AC9">
      <w:pPr>
        <w:pStyle w:val="ListParagraph"/>
        <w:ind w:left="360"/>
        <w:rPr>
          <w:b/>
        </w:rPr>
      </w:pPr>
    </w:p>
    <w:p w:rsidR="00386AC9" w:rsidRDefault="00386AC9">
      <w:pPr>
        <w:pStyle w:val="ListParagraph"/>
        <w:ind w:left="360"/>
        <w:rPr>
          <w:b/>
        </w:rPr>
      </w:pPr>
    </w:p>
    <w:p w:rsidR="000E127A" w:rsidRPr="00792E49" w:rsidRDefault="000E127A" w:rsidP="000E127A">
      <w:pPr>
        <w:pStyle w:val="ListParagraph"/>
        <w:numPr>
          <w:ilvl w:val="0"/>
          <w:numId w:val="6"/>
        </w:numPr>
        <w:ind w:left="360"/>
        <w:rPr>
          <w:b/>
        </w:rPr>
      </w:pPr>
      <w:r w:rsidRPr="00792E49">
        <w:rPr>
          <w:b/>
          <w:color w:val="000000"/>
        </w:rPr>
        <w:t xml:space="preserve">Comments and Questions </w:t>
      </w:r>
      <w:r>
        <w:rPr>
          <w:b/>
          <w:color w:val="000000"/>
        </w:rPr>
        <w:tab/>
      </w:r>
      <w:r>
        <w:rPr>
          <w:b/>
          <w:color w:val="000000"/>
        </w:rPr>
        <w:tab/>
      </w:r>
      <w:r>
        <w:rPr>
          <w:b/>
          <w:color w:val="000000"/>
        </w:rPr>
        <w:tab/>
      </w:r>
      <w:r w:rsidRPr="006B595D">
        <w:rPr>
          <w:b/>
        </w:rPr>
        <w:t>All Commissioners</w:t>
      </w:r>
    </w:p>
    <w:p w:rsidR="000E127A" w:rsidRPr="00792E49" w:rsidRDefault="000E127A" w:rsidP="000E127A">
      <w:pPr>
        <w:pStyle w:val="ListParagraph"/>
        <w:ind w:left="360"/>
        <w:rPr>
          <w:b/>
        </w:rPr>
      </w:pPr>
      <w:r w:rsidRPr="00792E49">
        <w:rPr>
          <w:b/>
          <w:color w:val="000000"/>
        </w:rPr>
        <w:t>from Commissioners</w:t>
      </w:r>
    </w:p>
    <w:p w:rsidR="000E127A" w:rsidRDefault="000E127A" w:rsidP="000E127A">
      <w:pPr>
        <w:pStyle w:val="ListParagraph"/>
        <w:ind w:left="0"/>
        <w:rPr>
          <w:i/>
        </w:rPr>
      </w:pPr>
    </w:p>
    <w:p w:rsidR="0029378C" w:rsidRPr="000034B9" w:rsidRDefault="0029378C" w:rsidP="000E127A">
      <w:pPr>
        <w:pStyle w:val="ListParagraph"/>
        <w:ind w:left="0"/>
        <w:rPr>
          <w:i/>
        </w:rPr>
      </w:pPr>
      <w:r>
        <w:rPr>
          <w:i/>
        </w:rPr>
        <w:tab/>
        <w:t>None</w:t>
      </w:r>
    </w:p>
    <w:p w:rsidR="000E127A" w:rsidRPr="001A686C" w:rsidRDefault="000E127A" w:rsidP="000E127A">
      <w:pPr>
        <w:numPr>
          <w:ilvl w:val="0"/>
          <w:numId w:val="6"/>
        </w:numPr>
        <w:ind w:left="360"/>
        <w:rPr>
          <w:b/>
          <w:bCs/>
        </w:rPr>
      </w:pPr>
      <w:r w:rsidRPr="006B595D">
        <w:rPr>
          <w:b/>
        </w:rPr>
        <w:t xml:space="preserve">Other Items of Business                 </w:t>
      </w:r>
      <w:r>
        <w:rPr>
          <w:b/>
        </w:rPr>
        <w:t xml:space="preserve">                     </w:t>
      </w:r>
      <w:r w:rsidRPr="006B595D">
        <w:rPr>
          <w:b/>
        </w:rPr>
        <w:t>All Commissioners</w:t>
      </w:r>
    </w:p>
    <w:p w:rsidR="000E127A" w:rsidRDefault="0029378C" w:rsidP="0029378C">
      <w:pPr>
        <w:ind w:left="360" w:firstLine="360"/>
        <w:rPr>
          <w:b/>
          <w:bCs/>
        </w:rPr>
      </w:pPr>
      <w:r>
        <w:rPr>
          <w:b/>
          <w:bCs/>
        </w:rPr>
        <w:t xml:space="preserve"> None</w:t>
      </w:r>
    </w:p>
    <w:p w:rsidR="000E127A" w:rsidRPr="005A203E" w:rsidRDefault="000E127A" w:rsidP="000E127A">
      <w:pPr>
        <w:numPr>
          <w:ilvl w:val="0"/>
          <w:numId w:val="6"/>
        </w:numPr>
        <w:ind w:left="360"/>
        <w:rPr>
          <w:b/>
          <w:bCs/>
        </w:rPr>
      </w:pPr>
      <w:r w:rsidRPr="001A686C">
        <w:rPr>
          <w:b/>
        </w:rPr>
        <w:t>Adjournment                                                       Chairman Angelides</w:t>
      </w:r>
    </w:p>
    <w:p w:rsidR="000E127A" w:rsidRDefault="000E127A" w:rsidP="000E127A">
      <w:pPr>
        <w:tabs>
          <w:tab w:val="left" w:pos="5747"/>
        </w:tabs>
      </w:pPr>
    </w:p>
    <w:p w:rsidR="005217AA" w:rsidRDefault="0029378C">
      <w:r>
        <w:t>Motion: Murren; second by Thompson.  Motion passes 8-0.</w:t>
      </w:r>
      <w:r w:rsidR="005217AA">
        <w:br w:type="page"/>
      </w:r>
    </w:p>
    <w:p w:rsidR="005217AA" w:rsidRDefault="005217AA" w:rsidP="000E127A">
      <w:pPr>
        <w:tabs>
          <w:tab w:val="left" w:pos="5747"/>
        </w:tabs>
      </w:pPr>
    </w:p>
    <w:p w:rsidR="009A6A8C" w:rsidRPr="001A686C" w:rsidRDefault="009A6A8C" w:rsidP="009A6A8C">
      <w:pPr>
        <w:jc w:val="center"/>
        <w:rPr>
          <w:b/>
          <w:bCs/>
        </w:rPr>
      </w:pPr>
      <w:r>
        <w:rPr>
          <w:b/>
          <w:noProof/>
        </w:rPr>
        <w:drawing>
          <wp:inline distT="0" distB="0" distL="0" distR="0">
            <wp:extent cx="1238250" cy="1304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9A6A8C" w:rsidRDefault="009A6A8C" w:rsidP="009A6A8C">
      <w:pPr>
        <w:pStyle w:val="NoSpacing"/>
        <w:jc w:val="center"/>
        <w:outlineLvl w:val="0"/>
        <w:rPr>
          <w:b/>
          <w:sz w:val="28"/>
          <w:szCs w:val="28"/>
        </w:rPr>
      </w:pPr>
      <w:r>
        <w:rPr>
          <w:b/>
          <w:sz w:val="28"/>
          <w:szCs w:val="28"/>
        </w:rPr>
        <w:t>Financial Crisis Inquiry Commission</w:t>
      </w:r>
    </w:p>
    <w:p w:rsidR="009A6A8C" w:rsidRPr="002C4F0E" w:rsidRDefault="009A6A8C" w:rsidP="009A6A8C">
      <w:pPr>
        <w:pStyle w:val="NoSpacing"/>
        <w:jc w:val="center"/>
        <w:rPr>
          <w:b/>
        </w:rPr>
      </w:pPr>
      <w:r>
        <w:rPr>
          <w:b/>
        </w:rPr>
        <w:t>Agenda Item 3</w:t>
      </w:r>
      <w:r w:rsidRPr="002C4F0E">
        <w:rPr>
          <w:b/>
        </w:rPr>
        <w:t xml:space="preserve"> for </w:t>
      </w:r>
      <w:r>
        <w:rPr>
          <w:b/>
        </w:rPr>
        <w:t>Telephonic Business Meeting of October 12, 2010</w:t>
      </w:r>
    </w:p>
    <w:p w:rsidR="009A6A8C" w:rsidRPr="002C4F0E" w:rsidRDefault="009A6A8C" w:rsidP="009A6A8C">
      <w:pPr>
        <w:pStyle w:val="NoSpacing"/>
        <w:jc w:val="center"/>
        <w:rPr>
          <w:b/>
        </w:rPr>
      </w:pPr>
      <w:r w:rsidRPr="002C4F0E">
        <w:rPr>
          <w:b/>
        </w:rPr>
        <w:t xml:space="preserve">Minutes of </w:t>
      </w:r>
      <w:r>
        <w:rPr>
          <w:b/>
        </w:rPr>
        <w:t xml:space="preserve">Telephonic Business </w:t>
      </w:r>
      <w:r w:rsidRPr="002C4F0E">
        <w:rPr>
          <w:b/>
        </w:rPr>
        <w:t>Meeting</w:t>
      </w:r>
      <w:r>
        <w:rPr>
          <w:b/>
        </w:rPr>
        <w:t xml:space="preserve"> of</w:t>
      </w:r>
    </w:p>
    <w:p w:rsidR="009A6A8C" w:rsidRDefault="009A6A8C" w:rsidP="009A6A8C">
      <w:pPr>
        <w:pStyle w:val="NoSpacing"/>
        <w:jc w:val="center"/>
        <w:rPr>
          <w:b/>
        </w:rPr>
      </w:pPr>
      <w:r>
        <w:rPr>
          <w:b/>
        </w:rPr>
        <w:t>September 14, 2010</w:t>
      </w:r>
    </w:p>
    <w:p w:rsidR="009A6A8C" w:rsidRPr="00F250CA" w:rsidRDefault="009A6A8C" w:rsidP="009A6A8C">
      <w:pPr>
        <w:pStyle w:val="NoSpacing"/>
        <w:jc w:val="center"/>
        <w:rPr>
          <w:b/>
        </w:rPr>
      </w:pPr>
    </w:p>
    <w:p w:rsidR="009A6A8C" w:rsidRPr="006B595D" w:rsidRDefault="009A6A8C" w:rsidP="009A6A8C">
      <w:pPr>
        <w:rPr>
          <w:b/>
          <w:bCs/>
        </w:rPr>
      </w:pPr>
    </w:p>
    <w:p w:rsidR="009A6A8C" w:rsidRDefault="009A6A8C" w:rsidP="009A6A8C">
      <w:pPr>
        <w:outlineLvl w:val="0"/>
        <w:rPr>
          <w:rFonts w:eastAsia="Calibri"/>
          <w:b/>
          <w:u w:val="single"/>
        </w:rPr>
      </w:pPr>
      <w:r w:rsidRPr="00CA64E2">
        <w:rPr>
          <w:rFonts w:eastAsia="Calibri"/>
          <w:b/>
          <w:u w:val="single"/>
        </w:rPr>
        <w:t>Agenda Item 1: Call to Order</w:t>
      </w:r>
    </w:p>
    <w:p w:rsidR="009A6A8C" w:rsidRPr="00CA64E2" w:rsidRDefault="009A6A8C" w:rsidP="009A6A8C">
      <w:pPr>
        <w:rPr>
          <w:rFonts w:eastAsia="Calibri"/>
          <w:b/>
          <w:u w:val="single"/>
        </w:rPr>
      </w:pPr>
    </w:p>
    <w:p w:rsidR="009A6A8C" w:rsidRDefault="009A6A8C" w:rsidP="009A6A8C">
      <w:pPr>
        <w:outlineLvl w:val="0"/>
        <w:rPr>
          <w:rFonts w:eastAsia="Calibri"/>
        </w:rPr>
      </w:pPr>
      <w:r w:rsidRPr="00CA64E2">
        <w:rPr>
          <w:rFonts w:eastAsia="Calibri"/>
        </w:rPr>
        <w:t xml:space="preserve">Chairman Angelides called the </w:t>
      </w:r>
      <w:r>
        <w:rPr>
          <w:rFonts w:eastAsia="Calibri"/>
        </w:rPr>
        <w:t>telephonic busines</w:t>
      </w:r>
      <w:r w:rsidR="00A079CA">
        <w:rPr>
          <w:rFonts w:eastAsia="Calibri"/>
        </w:rPr>
        <w:t>s meeting to order at 12:04pm ED</w:t>
      </w:r>
      <w:r>
        <w:rPr>
          <w:rFonts w:eastAsia="Calibri"/>
        </w:rPr>
        <w:t>T.</w:t>
      </w:r>
    </w:p>
    <w:p w:rsidR="009A6A8C" w:rsidRDefault="009A6A8C" w:rsidP="009A6A8C">
      <w:pPr>
        <w:rPr>
          <w:rFonts w:ascii="Arial" w:hAnsi="Arial" w:cs="Arial"/>
          <w:sz w:val="20"/>
          <w:szCs w:val="20"/>
        </w:rPr>
      </w:pPr>
    </w:p>
    <w:p w:rsidR="009A6A8C" w:rsidRPr="002C4F0E" w:rsidRDefault="009A6A8C" w:rsidP="009A6A8C">
      <w:pPr>
        <w:pStyle w:val="NoSpacing"/>
        <w:outlineLvl w:val="0"/>
      </w:pPr>
      <w:r>
        <w:rPr>
          <w:b/>
          <w:u w:val="single"/>
        </w:rPr>
        <w:t xml:space="preserve">Agenda Item </w:t>
      </w:r>
      <w:r w:rsidRPr="002C4F0E">
        <w:rPr>
          <w:b/>
          <w:u w:val="single"/>
        </w:rPr>
        <w:t xml:space="preserve"> 2: Roll Call</w:t>
      </w:r>
    </w:p>
    <w:p w:rsidR="009A6A8C" w:rsidRPr="002C4F0E" w:rsidRDefault="009A6A8C" w:rsidP="009A6A8C">
      <w:pPr>
        <w:pStyle w:val="NoSpacing"/>
      </w:pPr>
    </w:p>
    <w:p w:rsidR="009A6A8C" w:rsidRDefault="009A6A8C" w:rsidP="009A6A8C">
      <w:pPr>
        <w:pStyle w:val="NoSpacing"/>
      </w:pPr>
      <w:r w:rsidRPr="00D51ED3">
        <w:t>Chairman Angelides asked Gretchen Newsom to call</w:t>
      </w:r>
      <w:r>
        <w:t xml:space="preserve"> the roll of the Commissioners. </w:t>
      </w:r>
      <w:r w:rsidRPr="00D51ED3">
        <w:t xml:space="preserve">Present were Phil Angelides, </w:t>
      </w:r>
      <w:r>
        <w:t xml:space="preserve">Bill Thomas, </w:t>
      </w:r>
      <w:r w:rsidRPr="00D51ED3">
        <w:t>Brooksley B</w:t>
      </w:r>
      <w:r>
        <w:t>orn, Byron Georgiou, Heather Murren,</w:t>
      </w:r>
      <w:r w:rsidRPr="00D51ED3">
        <w:t xml:space="preserve"> </w:t>
      </w:r>
      <w:r>
        <w:t>John W. Thompson, and Peter Wallison.</w:t>
      </w:r>
      <w:r w:rsidRPr="00D51ED3">
        <w:t xml:space="preserve">  </w:t>
      </w:r>
      <w:r>
        <w:t>Commissioner Hennessey joined the call midway into Agenda Item 10. Commissioner Graham and Holtz-Eakin were absent.</w:t>
      </w:r>
    </w:p>
    <w:p w:rsidR="009A6A8C" w:rsidRPr="002C4F0E" w:rsidRDefault="009A6A8C" w:rsidP="009A6A8C">
      <w:pPr>
        <w:pStyle w:val="NoSpacing"/>
      </w:pPr>
    </w:p>
    <w:p w:rsidR="009A6A8C" w:rsidRDefault="009A6A8C" w:rsidP="009A6A8C">
      <w:pPr>
        <w:pStyle w:val="NoSpacing"/>
        <w:tabs>
          <w:tab w:val="left" w:pos="810"/>
        </w:tabs>
      </w:pPr>
      <w:r w:rsidRPr="002C4F0E">
        <w:t>Also participating in the meeting</w:t>
      </w:r>
      <w:r>
        <w:t xml:space="preserve"> were</w:t>
      </w:r>
      <w:r w:rsidRPr="002C4F0E">
        <w:t xml:space="preserve">: </w:t>
      </w:r>
      <w:r>
        <w:t>Wendy Edelberg</w:t>
      </w:r>
      <w:r w:rsidRPr="002C4F0E">
        <w:t xml:space="preserve">, Executive Director; </w:t>
      </w:r>
      <w:r>
        <w:t>Gary Cohen, General Counsel;</w:t>
      </w:r>
      <w:r w:rsidRPr="002C4F0E">
        <w:t xml:space="preserve"> Gretchen Newsom, a</w:t>
      </w:r>
      <w:r>
        <w:t>ssis</w:t>
      </w:r>
      <w:r w:rsidR="006C4E66">
        <w:t xml:space="preserve">tant to Chairman Angelides; </w:t>
      </w:r>
      <w:r w:rsidRPr="002C4F0E">
        <w:t>Scott Ganz, as</w:t>
      </w:r>
      <w:r w:rsidR="006C4E66">
        <w:t>sistant to Vice Chairman Thomas, and Shaista Ahmed, assistant to Wendy Edelberg.  Mina Simhai joined the meeting during Agenda Item 10</w:t>
      </w:r>
    </w:p>
    <w:p w:rsidR="00395C85" w:rsidRPr="005A5DAE" w:rsidRDefault="00395C85" w:rsidP="00395C85">
      <w:pPr>
        <w:pStyle w:val="ListParagraph"/>
        <w:ind w:left="0"/>
        <w:rPr>
          <w:bCs/>
        </w:rPr>
      </w:pPr>
    </w:p>
    <w:p w:rsidR="00395C85" w:rsidRPr="002C4F0E" w:rsidRDefault="00395C85" w:rsidP="00395C85">
      <w:pPr>
        <w:pStyle w:val="NoSpacing"/>
        <w:tabs>
          <w:tab w:val="left" w:pos="810"/>
        </w:tabs>
        <w:outlineLvl w:val="0"/>
      </w:pPr>
      <w:r w:rsidRPr="002C4F0E">
        <w:rPr>
          <w:b/>
          <w:u w:val="single"/>
        </w:rPr>
        <w:t xml:space="preserve">Agenda Item </w:t>
      </w:r>
      <w:r>
        <w:rPr>
          <w:b/>
          <w:u w:val="single"/>
        </w:rPr>
        <w:t>3</w:t>
      </w:r>
      <w:r w:rsidRPr="002C4F0E">
        <w:rPr>
          <w:b/>
          <w:u w:val="single"/>
        </w:rPr>
        <w:t xml:space="preserve">: Approval of Minutes of Meeting, </w:t>
      </w:r>
      <w:r>
        <w:rPr>
          <w:b/>
          <w:u w:val="single"/>
        </w:rPr>
        <w:t>August 17, 2010</w:t>
      </w:r>
    </w:p>
    <w:p w:rsidR="00395C85" w:rsidRPr="002C4F0E" w:rsidRDefault="00395C85" w:rsidP="00395C85">
      <w:pPr>
        <w:pStyle w:val="NoSpacing"/>
        <w:tabs>
          <w:tab w:val="left" w:pos="810"/>
        </w:tabs>
      </w:pPr>
    </w:p>
    <w:p w:rsidR="00395C85" w:rsidRDefault="00395C85" w:rsidP="00395C85">
      <w:r w:rsidRPr="002C4F0E">
        <w:t xml:space="preserve">Chairman Angelides introduced the minutes from the FCIC meeting of </w:t>
      </w:r>
      <w:r>
        <w:t xml:space="preserve">August 17, 2010. </w:t>
      </w:r>
    </w:p>
    <w:p w:rsidR="00395C85" w:rsidRPr="002C4F0E" w:rsidRDefault="00395C85" w:rsidP="00395C85">
      <w:pPr>
        <w:pStyle w:val="NoSpacing"/>
        <w:tabs>
          <w:tab w:val="left" w:pos="810"/>
        </w:tabs>
      </w:pPr>
    </w:p>
    <w:p w:rsidR="00395C85" w:rsidRDefault="00395C85" w:rsidP="00395C85">
      <w:pPr>
        <w:pStyle w:val="NoSpacing"/>
        <w:tabs>
          <w:tab w:val="left" w:pos="810"/>
        </w:tabs>
        <w:ind w:left="2160" w:hanging="1440"/>
      </w:pPr>
      <w:r w:rsidRPr="002C4F0E">
        <w:t>MOTION:</w:t>
      </w:r>
      <w:r w:rsidRPr="002C4F0E">
        <w:tab/>
      </w:r>
      <w:r>
        <w:t>Born moved and Wallison seconded a</w:t>
      </w:r>
      <w:r w:rsidRPr="002C4F0E">
        <w:t xml:space="preserve"> motion to adopt</w:t>
      </w:r>
      <w:r>
        <w:t xml:space="preserve"> the meeting minutes (attached).</w:t>
      </w:r>
    </w:p>
    <w:p w:rsidR="00395C85" w:rsidRPr="002C4F0E" w:rsidRDefault="00395C85" w:rsidP="00395C85">
      <w:pPr>
        <w:pStyle w:val="NoSpacing"/>
        <w:tabs>
          <w:tab w:val="left" w:pos="810"/>
        </w:tabs>
        <w:ind w:left="2160" w:hanging="2160"/>
      </w:pPr>
    </w:p>
    <w:p w:rsidR="00395C85" w:rsidRDefault="00395C85" w:rsidP="00395C85">
      <w:pPr>
        <w:pStyle w:val="NoSpacing"/>
        <w:tabs>
          <w:tab w:val="left" w:pos="810"/>
        </w:tabs>
        <w:ind w:left="2160" w:hanging="1440"/>
      </w:pPr>
      <w:r>
        <w:t>APPROVED:</w:t>
      </w:r>
      <w:r>
        <w:tab/>
        <w:t>7-0 (Commissioners Graham, Holtz-Eakin, and Hennessey absent)</w:t>
      </w:r>
    </w:p>
    <w:p w:rsidR="00395C85" w:rsidRPr="006C4E66" w:rsidRDefault="00395C85" w:rsidP="006C4E66">
      <w:pPr>
        <w:rPr>
          <w:b/>
          <w:bCs/>
        </w:rPr>
      </w:pPr>
    </w:p>
    <w:p w:rsidR="0057334D" w:rsidRDefault="00395C85" w:rsidP="00395C85">
      <w:pPr>
        <w:pStyle w:val="NoSpacing"/>
        <w:tabs>
          <w:tab w:val="left" w:pos="810"/>
        </w:tabs>
        <w:outlineLvl w:val="0"/>
        <w:rPr>
          <w:b/>
        </w:rPr>
      </w:pPr>
      <w:r w:rsidRPr="002C4F0E">
        <w:rPr>
          <w:b/>
          <w:u w:val="single"/>
        </w:rPr>
        <w:t xml:space="preserve">Agenda Item </w:t>
      </w:r>
      <w:r>
        <w:rPr>
          <w:b/>
          <w:u w:val="single"/>
        </w:rPr>
        <w:t>4</w:t>
      </w:r>
      <w:r w:rsidRPr="002C4F0E">
        <w:rPr>
          <w:b/>
          <w:u w:val="single"/>
        </w:rPr>
        <w:t xml:space="preserve">: </w:t>
      </w:r>
      <w:r w:rsidR="0057334D" w:rsidRPr="00395C85">
        <w:rPr>
          <w:b/>
          <w:u w:val="single"/>
        </w:rPr>
        <w:t>Chairman’s and Vice Chairman’s Repor</w:t>
      </w:r>
      <w:r w:rsidR="00007147">
        <w:rPr>
          <w:b/>
          <w:u w:val="single"/>
        </w:rPr>
        <w:t>t</w:t>
      </w:r>
    </w:p>
    <w:p w:rsidR="0057334D" w:rsidRDefault="00367811" w:rsidP="00367811">
      <w:pPr>
        <w:outlineLvl w:val="0"/>
        <w:rPr>
          <w:b/>
        </w:rPr>
      </w:pPr>
      <w:r>
        <w:rPr>
          <w:b/>
        </w:rPr>
        <w:tab/>
      </w:r>
    </w:p>
    <w:p w:rsidR="00367811" w:rsidRDefault="00395C85" w:rsidP="00D57116">
      <w:pPr>
        <w:outlineLvl w:val="0"/>
        <w:rPr>
          <w:b/>
        </w:rPr>
      </w:pPr>
      <w:r>
        <w:t>Chairman Angelides provided the Commission a general update on Commission matters, including a brief update on the initial draft sections of the report;</w:t>
      </w:r>
      <w:r w:rsidR="00D57116">
        <w:t xml:space="preserve"> an overview of the field hearings, and staff efforts to wrap up investigations and research. </w:t>
      </w:r>
      <w:r>
        <w:t xml:space="preserve"> </w:t>
      </w:r>
      <w:r w:rsidR="00007147">
        <w:t>Chairman Angelides and Vice Chairman Thomas e</w:t>
      </w:r>
      <w:r w:rsidR="007F14BB">
        <w:t>mphasized</w:t>
      </w:r>
      <w:r w:rsidR="00007147">
        <w:t xml:space="preserve"> the importance of time tables and the nee</w:t>
      </w:r>
      <w:r w:rsidR="007F14BB">
        <w:t xml:space="preserve">d for continued discussions to </w:t>
      </w:r>
      <w:r w:rsidR="00007147">
        <w:t>inform the Commission where there</w:t>
      </w:r>
      <w:r w:rsidR="000E5FD4">
        <w:t xml:space="preserve"> are</w:t>
      </w:r>
      <w:r w:rsidR="00007147">
        <w:t xml:space="preserve"> agreements and disagreements on report material.</w:t>
      </w:r>
    </w:p>
    <w:p w:rsidR="00367811" w:rsidRDefault="00367811" w:rsidP="00367811">
      <w:pPr>
        <w:outlineLvl w:val="0"/>
        <w:rPr>
          <w:b/>
        </w:rPr>
      </w:pPr>
    </w:p>
    <w:p w:rsidR="00007147" w:rsidRPr="00367811" w:rsidRDefault="00007147" w:rsidP="00367811">
      <w:pPr>
        <w:outlineLvl w:val="0"/>
        <w:rPr>
          <w:b/>
        </w:rPr>
      </w:pPr>
    </w:p>
    <w:p w:rsidR="00007147" w:rsidRDefault="00007147" w:rsidP="00007147">
      <w:pPr>
        <w:pStyle w:val="NoSpacing"/>
        <w:tabs>
          <w:tab w:val="left" w:pos="810"/>
        </w:tabs>
        <w:outlineLvl w:val="0"/>
        <w:rPr>
          <w:b/>
        </w:rPr>
      </w:pPr>
      <w:r w:rsidRPr="002C4F0E">
        <w:rPr>
          <w:b/>
          <w:u w:val="single"/>
        </w:rPr>
        <w:t xml:space="preserve">Agenda Item </w:t>
      </w:r>
      <w:r>
        <w:rPr>
          <w:b/>
          <w:u w:val="single"/>
        </w:rPr>
        <w:t>5</w:t>
      </w:r>
      <w:r w:rsidRPr="002C4F0E">
        <w:rPr>
          <w:b/>
          <w:u w:val="single"/>
        </w:rPr>
        <w:t xml:space="preserve">: </w:t>
      </w:r>
      <w:r>
        <w:rPr>
          <w:b/>
          <w:u w:val="single"/>
        </w:rPr>
        <w:t>Executive Director’s</w:t>
      </w:r>
      <w:r w:rsidRPr="00395C85">
        <w:rPr>
          <w:b/>
          <w:u w:val="single"/>
        </w:rPr>
        <w:t xml:space="preserve"> Repor</w:t>
      </w:r>
      <w:r>
        <w:rPr>
          <w:b/>
          <w:u w:val="single"/>
        </w:rPr>
        <w:t xml:space="preserve">t and Agenda Item 6: </w:t>
      </w:r>
      <w:r w:rsidRPr="00007147">
        <w:rPr>
          <w:b/>
          <w:u w:val="single"/>
        </w:rPr>
        <w:t>Update on the Report</w:t>
      </w:r>
    </w:p>
    <w:p w:rsidR="0057334D" w:rsidRDefault="0057334D" w:rsidP="0057334D">
      <w:pPr>
        <w:pStyle w:val="ListParagraph"/>
        <w:ind w:left="0"/>
        <w:rPr>
          <w:b/>
        </w:rPr>
      </w:pPr>
    </w:p>
    <w:p w:rsidR="00367811" w:rsidRDefault="00007147" w:rsidP="00007147">
      <w:pPr>
        <w:rPr>
          <w:b/>
        </w:rPr>
      </w:pPr>
      <w:r>
        <w:t xml:space="preserve">Executive Director Wendy Edelberg combined her report with Agenda Item 6 – an update on the report.   She apprised the Commission of the selection of a senior editor (Mike Bryan) and a </w:t>
      </w:r>
      <w:r w:rsidRPr="00007147">
        <w:t>website design firm</w:t>
      </w:r>
      <w:r w:rsidR="007F14BB">
        <w:t>.  Edelberg gave an</w:t>
      </w:r>
      <w:r w:rsidR="005D6455">
        <w:t xml:space="preserve"> overview of the various sections of the report and which writers are assigned to each section as well as when Commissioners can expect to review material.  She noted </w:t>
      </w:r>
      <w:r w:rsidRPr="00007147">
        <w:t xml:space="preserve">production toward the final Commission products is </w:t>
      </w:r>
      <w:r>
        <w:t>moving forward, including the archiving of materials.</w:t>
      </w:r>
      <w:r w:rsidR="00367811" w:rsidRPr="00007147">
        <w:rPr>
          <w:b/>
        </w:rPr>
        <w:t xml:space="preserve"> </w:t>
      </w:r>
      <w:r w:rsidR="005D6455">
        <w:t>Edelberg will provide the Commission an estimated schedule of production</w:t>
      </w:r>
      <w:r w:rsidR="008B000E">
        <w:t xml:space="preserve"> for draft sections</w:t>
      </w:r>
      <w:r w:rsidR="005D6455">
        <w:t xml:space="preserve"> and Commissioner review of these materials.</w:t>
      </w:r>
    </w:p>
    <w:p w:rsidR="00007147" w:rsidRPr="00007147" w:rsidRDefault="00007147" w:rsidP="00007147">
      <w:pPr>
        <w:rPr>
          <w:b/>
        </w:rPr>
      </w:pPr>
    </w:p>
    <w:p w:rsidR="0057334D" w:rsidRDefault="005D6455" w:rsidP="005D6455">
      <w:pPr>
        <w:rPr>
          <w:b/>
        </w:rPr>
      </w:pPr>
      <w:r w:rsidRPr="002C4F0E">
        <w:rPr>
          <w:b/>
          <w:u w:val="single"/>
        </w:rPr>
        <w:t xml:space="preserve">Agenda Item </w:t>
      </w:r>
      <w:r w:rsidR="005F3096">
        <w:rPr>
          <w:b/>
          <w:u w:val="single"/>
        </w:rPr>
        <w:t>7</w:t>
      </w:r>
      <w:r w:rsidRPr="002C4F0E">
        <w:rPr>
          <w:b/>
          <w:u w:val="single"/>
        </w:rPr>
        <w:t xml:space="preserve">: </w:t>
      </w:r>
      <w:r w:rsidR="00661BB3" w:rsidRPr="005D6455">
        <w:rPr>
          <w:b/>
          <w:u w:val="single"/>
        </w:rPr>
        <w:t>Upcoming September 28-29</w:t>
      </w:r>
      <w:r w:rsidR="0057334D" w:rsidRPr="005D6455">
        <w:rPr>
          <w:b/>
          <w:u w:val="single"/>
        </w:rPr>
        <w:t xml:space="preserve"> Meetin</w:t>
      </w:r>
      <w:r w:rsidR="008B000E">
        <w:rPr>
          <w:b/>
          <w:u w:val="single"/>
        </w:rPr>
        <w:t>g</w:t>
      </w:r>
      <w:r w:rsidR="0057334D" w:rsidRPr="005D6455">
        <w:rPr>
          <w:b/>
        </w:rPr>
        <w:tab/>
      </w:r>
    </w:p>
    <w:p w:rsidR="0057334D" w:rsidRPr="004F3D2A" w:rsidRDefault="0057334D" w:rsidP="004F3D2A">
      <w:pPr>
        <w:rPr>
          <w:b/>
        </w:rPr>
      </w:pPr>
    </w:p>
    <w:p w:rsidR="008B000E" w:rsidRDefault="008B000E" w:rsidP="008B000E">
      <w:r>
        <w:t xml:space="preserve">Chairman Angelides and Vice Chairman Thomas will flesh out an agenda for the upcoming retreat soon and inquired if Commissioners had thoughts on the most productive way to make progress on coming together on a report. Vice Chairman Thomas </w:t>
      </w:r>
      <w:r w:rsidR="000E5FD4">
        <w:t>raised concerns about the</w:t>
      </w:r>
      <w:r w:rsidR="00780F81">
        <w:t xml:space="preserve"> staff’s desire to receive input from outside experts, academics and economists and share the document on a confidential basis for the purposes of fact checking and to ensure that seminal events were not missed. Chairman Angelides said there would be value in this to make sure there are not glaring errors, omissions,</w:t>
      </w:r>
      <w:r w:rsidR="00666318">
        <w:t xml:space="preserve"> or mistakes – and asked that staff limit this to only checking facts and not garnering broad opinions.</w:t>
      </w:r>
    </w:p>
    <w:p w:rsidR="004F3D2A" w:rsidRPr="00666318" w:rsidRDefault="004F3D2A" w:rsidP="00666318">
      <w:pPr>
        <w:rPr>
          <w:b/>
        </w:rPr>
      </w:pPr>
    </w:p>
    <w:p w:rsidR="00CE6173" w:rsidRPr="00666318" w:rsidRDefault="00666318" w:rsidP="00666318">
      <w:pPr>
        <w:rPr>
          <w:b/>
        </w:rPr>
      </w:pPr>
      <w:r w:rsidRPr="002C4F0E">
        <w:rPr>
          <w:b/>
          <w:u w:val="single"/>
        </w:rPr>
        <w:t xml:space="preserve">Agenda Item </w:t>
      </w:r>
      <w:r w:rsidR="005F3096">
        <w:rPr>
          <w:b/>
          <w:u w:val="single"/>
        </w:rPr>
        <w:t>8</w:t>
      </w:r>
      <w:r w:rsidRPr="002C4F0E">
        <w:rPr>
          <w:b/>
          <w:u w:val="single"/>
        </w:rPr>
        <w:t xml:space="preserve">: </w:t>
      </w:r>
      <w:r w:rsidR="00CE6173" w:rsidRPr="00666318">
        <w:rPr>
          <w:b/>
          <w:u w:val="single"/>
        </w:rPr>
        <w:t>Field Hearings – Overview of Bakersfield</w:t>
      </w:r>
      <w:r w:rsidRPr="00666318">
        <w:rPr>
          <w:b/>
          <w:u w:val="single"/>
        </w:rPr>
        <w:t xml:space="preserve"> </w:t>
      </w:r>
      <w:r w:rsidR="00CE6173" w:rsidRPr="00666318">
        <w:rPr>
          <w:b/>
          <w:u w:val="single"/>
        </w:rPr>
        <w:t>and Las Vegas; and upcoming hearings in</w:t>
      </w:r>
      <w:r w:rsidRPr="00666318">
        <w:rPr>
          <w:b/>
          <w:u w:val="single"/>
        </w:rPr>
        <w:t xml:space="preserve"> </w:t>
      </w:r>
      <w:r w:rsidR="00CE6173" w:rsidRPr="00666318">
        <w:rPr>
          <w:b/>
          <w:u w:val="single"/>
        </w:rPr>
        <w:t>Miami and Sacramento</w:t>
      </w:r>
      <w:r w:rsidR="00CE6173" w:rsidRPr="00666318">
        <w:rPr>
          <w:b/>
        </w:rPr>
        <w:tab/>
      </w:r>
      <w:r w:rsidR="00CE6173" w:rsidRPr="00666318">
        <w:rPr>
          <w:b/>
        </w:rPr>
        <w:tab/>
      </w:r>
    </w:p>
    <w:p w:rsidR="00CE6173" w:rsidRDefault="00CE6173" w:rsidP="00CE6173">
      <w:pPr>
        <w:pStyle w:val="ListParagraph"/>
        <w:ind w:left="360"/>
        <w:rPr>
          <w:b/>
        </w:rPr>
      </w:pPr>
    </w:p>
    <w:p w:rsidR="00A77D8F" w:rsidRPr="00A302A8" w:rsidRDefault="00666318" w:rsidP="00666318">
      <w:r>
        <w:t>Vice Chairman Thomas informed the Commission that he thought the first two field hearings</w:t>
      </w:r>
      <w:r w:rsidR="007F14BB">
        <w:t xml:space="preserve"> (Bakersfield and Las Vegas) were</w:t>
      </w:r>
      <w:r>
        <w:t xml:space="preserve"> interesting and useful and noted the </w:t>
      </w:r>
      <w:r w:rsidR="00A302A8">
        <w:t>outrageous</w:t>
      </w:r>
      <w:r>
        <w:t xml:space="preserve"> behavior of le</w:t>
      </w:r>
      <w:r w:rsidR="00A302A8">
        <w:t xml:space="preserve">nders as heard from testimony at the local level.  Commissioner Murren also noted the value in the field hearings </w:t>
      </w:r>
      <w:r w:rsidR="007F14BB">
        <w:t xml:space="preserve">in </w:t>
      </w:r>
      <w:r w:rsidR="00A302A8">
        <w:t>illuminating the issue of stalled mortgage modifications and resolutions and recommended that the Commission take action on this matter.  Chairman Angelides recommended that this topic be covered in Section 4 and Section 2 of the report. Commissioner Georgiou commented on the testimony received in Las Vegas on the impact of the financial crisis on local governments and community services.</w:t>
      </w:r>
    </w:p>
    <w:p w:rsidR="00A77D8F" w:rsidRDefault="00A77D8F" w:rsidP="00CE6173">
      <w:pPr>
        <w:pStyle w:val="ListParagraph"/>
        <w:ind w:left="360"/>
        <w:rPr>
          <w:b/>
        </w:rPr>
      </w:pPr>
    </w:p>
    <w:p w:rsidR="0057334D" w:rsidRPr="00A302A8" w:rsidRDefault="00A302A8" w:rsidP="00A302A8">
      <w:pPr>
        <w:rPr>
          <w:b/>
          <w:u w:val="single"/>
        </w:rPr>
      </w:pPr>
      <w:r w:rsidRPr="002C4F0E">
        <w:rPr>
          <w:b/>
          <w:u w:val="single"/>
        </w:rPr>
        <w:t xml:space="preserve">Agenda Item </w:t>
      </w:r>
      <w:r w:rsidR="005F3096">
        <w:rPr>
          <w:b/>
          <w:u w:val="single"/>
        </w:rPr>
        <w:t>9</w:t>
      </w:r>
      <w:r>
        <w:rPr>
          <w:b/>
          <w:u w:val="single"/>
        </w:rPr>
        <w:t xml:space="preserve">: </w:t>
      </w:r>
      <w:r w:rsidR="0057334D" w:rsidRPr="00A302A8">
        <w:rPr>
          <w:b/>
          <w:u w:val="single"/>
        </w:rPr>
        <w:t>Approval of Extension to Execute</w:t>
      </w:r>
      <w:r w:rsidRPr="00A302A8">
        <w:rPr>
          <w:b/>
          <w:u w:val="single"/>
        </w:rPr>
        <w:t xml:space="preserve"> </w:t>
      </w:r>
      <w:r w:rsidR="0057334D" w:rsidRPr="00A302A8">
        <w:rPr>
          <w:b/>
          <w:bCs/>
          <w:u w:val="single"/>
        </w:rPr>
        <w:t xml:space="preserve">Agreements and Contracts on behalf of </w:t>
      </w:r>
    </w:p>
    <w:p w:rsidR="0057334D" w:rsidRPr="00A302A8" w:rsidRDefault="0057334D" w:rsidP="0057334D">
      <w:pPr>
        <w:pStyle w:val="NoSpacing"/>
        <w:rPr>
          <w:b/>
          <w:bCs/>
          <w:u w:val="single"/>
        </w:rPr>
      </w:pPr>
      <w:r w:rsidRPr="00A302A8">
        <w:rPr>
          <w:b/>
          <w:bCs/>
          <w:u w:val="single"/>
        </w:rPr>
        <w:t>the Financial Crisis Inquiry Commission</w:t>
      </w:r>
    </w:p>
    <w:p w:rsidR="00A302A8" w:rsidRDefault="00A302A8" w:rsidP="0057334D">
      <w:pPr>
        <w:pStyle w:val="ListParagraph"/>
        <w:ind w:left="0"/>
        <w:rPr>
          <w:i/>
        </w:rPr>
      </w:pPr>
    </w:p>
    <w:p w:rsidR="0057334D" w:rsidRPr="00A302A8" w:rsidRDefault="00A302A8" w:rsidP="0057334D">
      <w:pPr>
        <w:pStyle w:val="ListParagraph"/>
        <w:ind w:left="0"/>
      </w:pPr>
      <w:r w:rsidRPr="00A302A8">
        <w:t>General Co</w:t>
      </w:r>
      <w:r w:rsidR="003C798D">
        <w:t xml:space="preserve">unsel </w:t>
      </w:r>
      <w:r w:rsidRPr="00A302A8">
        <w:t>Gary Cohen introduced the extension to execute agreements and contracts</w:t>
      </w:r>
      <w:r w:rsidR="003C798D">
        <w:t xml:space="preserve"> on behalf of the Commission and</w:t>
      </w:r>
      <w:r w:rsidRPr="00A302A8">
        <w:t xml:space="preserve"> noted that this would be the last extension.</w:t>
      </w:r>
    </w:p>
    <w:p w:rsidR="00A302A8" w:rsidRDefault="00A302A8" w:rsidP="0057334D">
      <w:pPr>
        <w:pStyle w:val="ListParagraph"/>
        <w:ind w:left="0"/>
        <w:rPr>
          <w:b/>
        </w:rPr>
      </w:pPr>
    </w:p>
    <w:p w:rsidR="00A302A8" w:rsidRDefault="0017751B" w:rsidP="00A302A8">
      <w:pPr>
        <w:pStyle w:val="NoSpacing"/>
        <w:tabs>
          <w:tab w:val="left" w:pos="810"/>
        </w:tabs>
        <w:ind w:left="2160" w:hanging="1440"/>
      </w:pPr>
      <w:r>
        <w:rPr>
          <w:b/>
        </w:rPr>
        <w:tab/>
      </w:r>
      <w:r w:rsidR="00A302A8" w:rsidRPr="002C4F0E">
        <w:t>MOTION:</w:t>
      </w:r>
      <w:r w:rsidR="00A302A8" w:rsidRPr="002C4F0E">
        <w:tab/>
      </w:r>
      <w:r w:rsidR="00A302A8">
        <w:t>Murren moved and Born seconded a</w:t>
      </w:r>
      <w:r w:rsidR="00A302A8" w:rsidRPr="002C4F0E">
        <w:t xml:space="preserve"> motion to adopt</w:t>
      </w:r>
      <w:r w:rsidR="00A302A8">
        <w:t xml:space="preserve"> the extension (attached).</w:t>
      </w:r>
    </w:p>
    <w:p w:rsidR="00A302A8" w:rsidRPr="002C4F0E" w:rsidRDefault="00A302A8" w:rsidP="00A302A8">
      <w:pPr>
        <w:pStyle w:val="NoSpacing"/>
        <w:tabs>
          <w:tab w:val="left" w:pos="810"/>
        </w:tabs>
        <w:ind w:left="2160" w:hanging="2160"/>
      </w:pPr>
    </w:p>
    <w:p w:rsidR="00A302A8" w:rsidRDefault="00A302A8" w:rsidP="00A302A8">
      <w:pPr>
        <w:pStyle w:val="NoSpacing"/>
        <w:tabs>
          <w:tab w:val="left" w:pos="810"/>
        </w:tabs>
        <w:ind w:left="2160" w:hanging="1440"/>
      </w:pPr>
      <w:r>
        <w:t>APPROVED:</w:t>
      </w:r>
      <w:r>
        <w:tab/>
        <w:t>7-0 (Commissioners Graham, Holtz-Eakin, and Hennessey absent)</w:t>
      </w:r>
    </w:p>
    <w:p w:rsidR="0017751B" w:rsidRPr="001340A8" w:rsidRDefault="0017751B" w:rsidP="0057334D">
      <w:pPr>
        <w:pStyle w:val="ListParagraph"/>
        <w:ind w:left="0"/>
        <w:rPr>
          <w:b/>
        </w:rPr>
      </w:pPr>
    </w:p>
    <w:p w:rsidR="00025D54" w:rsidRPr="00C9665D" w:rsidRDefault="005F3096" w:rsidP="00C9665D">
      <w:pPr>
        <w:rPr>
          <w:b/>
          <w:i/>
          <w:u w:val="single"/>
        </w:rPr>
      </w:pPr>
      <w:r>
        <w:rPr>
          <w:b/>
          <w:u w:val="single"/>
        </w:rPr>
        <w:t>Agenda Item 10</w:t>
      </w:r>
      <w:r w:rsidR="00C9665D" w:rsidRPr="00C9665D">
        <w:rPr>
          <w:b/>
          <w:u w:val="single"/>
        </w:rPr>
        <w:t xml:space="preserve">: </w:t>
      </w:r>
      <w:r w:rsidR="00076DC0" w:rsidRPr="00C9665D">
        <w:rPr>
          <w:b/>
          <w:u w:val="single"/>
        </w:rPr>
        <w:t>Referral to Justice Memo</w:t>
      </w:r>
    </w:p>
    <w:p w:rsidR="00076DC0" w:rsidRDefault="00076DC0" w:rsidP="00076DC0">
      <w:pPr>
        <w:pStyle w:val="ListParagraph"/>
        <w:ind w:left="360"/>
        <w:rPr>
          <w:b/>
        </w:rPr>
      </w:pPr>
    </w:p>
    <w:p w:rsidR="00C42A2B" w:rsidRDefault="0017751B" w:rsidP="007E3163">
      <w:r w:rsidRPr="005F3096">
        <w:lastRenderedPageBreak/>
        <w:t>Gary Cohen</w:t>
      </w:r>
      <w:r w:rsidR="005F3096" w:rsidRPr="005F3096">
        <w:t xml:space="preserve"> introduced the referral to justice memo</w:t>
      </w:r>
      <w:r w:rsidRPr="005F3096">
        <w:t xml:space="preserve"> </w:t>
      </w:r>
      <w:r w:rsidR="005F3096">
        <w:t>to the Commission and noted that as stated in the memo, if the Commission comes across any potential violations of the law, we are directed to refer these matters to the Attorney General. He noted that some of the seven items outlined in the memo are currently being investigated by other entities, but we have a responsibility to</w:t>
      </w:r>
      <w:r w:rsidR="007E3163">
        <w:t xml:space="preserve"> share the information we have with the Department of Justice.  Cohen e</w:t>
      </w:r>
      <w:r w:rsidR="007F14BB">
        <w:t>mphasized</w:t>
      </w:r>
      <w:r w:rsidR="007E3163">
        <w:t xml:space="preserve"> that this is a referral not a recommendation for prosecution and that if staff are directed to proceed, staff would compile documents in our possession. </w:t>
      </w:r>
      <w:r w:rsidR="005F3096">
        <w:t xml:space="preserve"> </w:t>
      </w:r>
      <w:r w:rsidR="007E3163">
        <w:t xml:space="preserve">It was also noted that this referral is strictly confidential during the course of the Commission and after the Commission concludes. </w:t>
      </w:r>
    </w:p>
    <w:p w:rsidR="00C42A2B" w:rsidRDefault="00C42A2B" w:rsidP="007E3163"/>
    <w:p w:rsidR="000A6A84" w:rsidRDefault="007E3163" w:rsidP="007E3163">
      <w:r>
        <w:t>Vice Chairman Thomas expressed concerns about t</w:t>
      </w:r>
      <w:r w:rsidR="00A02F27">
        <w:t xml:space="preserve">he timing of the referral memo. </w:t>
      </w:r>
      <w:r>
        <w:t xml:space="preserve">Commissioner Wallison asked staff to also look into the matter of </w:t>
      </w:r>
      <w:r w:rsidR="00C42A2B">
        <w:t>Fannie and Freddie and mortgage quality reporting</w:t>
      </w:r>
      <w:r w:rsidR="00A8230C">
        <w:t xml:space="preserve"> and requested that the cover letter does not specify that we are recommending legal action be taken.</w:t>
      </w:r>
      <w:r>
        <w:t xml:space="preserve"> Vice Chairman Thomas asked that the Commission wait to take action on this matter until at least the upcoming retreat on September 28</w:t>
      </w:r>
      <w:r w:rsidRPr="007E3163">
        <w:rPr>
          <w:vertAlign w:val="superscript"/>
        </w:rPr>
        <w:t>th</w:t>
      </w:r>
      <w:r>
        <w:t xml:space="preserve"> and 29</w:t>
      </w:r>
      <w:r w:rsidRPr="007E3163">
        <w:rPr>
          <w:vertAlign w:val="superscript"/>
        </w:rPr>
        <w:t>th</w:t>
      </w:r>
      <w:r w:rsidR="000A6A84">
        <w:t xml:space="preserve">. Commissioner Hennessey asked that the referrals be considered individually rather than as a block. </w:t>
      </w:r>
    </w:p>
    <w:p w:rsidR="000A6A84" w:rsidRDefault="000A6A84" w:rsidP="007E3163"/>
    <w:p w:rsidR="000A6A84" w:rsidRDefault="000A6A84" w:rsidP="000A6A84">
      <w:pPr>
        <w:ind w:left="2160" w:hanging="1440"/>
        <w:rPr>
          <w:b/>
        </w:rPr>
      </w:pPr>
      <w:r w:rsidRPr="002C4F0E">
        <w:t>MOTION:</w:t>
      </w:r>
      <w:r w:rsidRPr="002C4F0E">
        <w:tab/>
      </w:r>
      <w:r w:rsidR="000E5FD4">
        <w:t>Georgiou</w:t>
      </w:r>
      <w:r>
        <w:t xml:space="preserve"> moved and Thompson seconded a motion to hold this item over until the retreat of September 28</w:t>
      </w:r>
      <w:r w:rsidRPr="000A6A84">
        <w:rPr>
          <w:vertAlign w:val="superscript"/>
        </w:rPr>
        <w:t>th</w:t>
      </w:r>
      <w:r>
        <w:t xml:space="preserve"> and 29</w:t>
      </w:r>
      <w:r w:rsidRPr="000A6A84">
        <w:rPr>
          <w:vertAlign w:val="superscript"/>
        </w:rPr>
        <w:t>th</w:t>
      </w:r>
      <w:r w:rsidR="000E5FD4">
        <w:t>.</w:t>
      </w:r>
    </w:p>
    <w:p w:rsidR="000A6A84" w:rsidRPr="002C4F0E" w:rsidRDefault="000A6A84" w:rsidP="000A6A84">
      <w:pPr>
        <w:pStyle w:val="NoSpacing"/>
        <w:tabs>
          <w:tab w:val="left" w:pos="810"/>
        </w:tabs>
        <w:ind w:left="2160" w:hanging="2160"/>
      </w:pPr>
    </w:p>
    <w:p w:rsidR="000A6A84" w:rsidRDefault="000A6A84" w:rsidP="000A6A84">
      <w:pPr>
        <w:pStyle w:val="NoSpacing"/>
        <w:tabs>
          <w:tab w:val="left" w:pos="810"/>
        </w:tabs>
        <w:ind w:left="2160" w:hanging="1440"/>
      </w:pPr>
      <w:r>
        <w:t>APPROVED:</w:t>
      </w:r>
      <w:r>
        <w:tab/>
        <w:t>8-0 (Commissioners Graham and Holtz-Eakin absent)</w:t>
      </w:r>
    </w:p>
    <w:p w:rsidR="0017751B" w:rsidRDefault="0017751B" w:rsidP="00076DC0">
      <w:pPr>
        <w:pStyle w:val="ListParagraph"/>
        <w:ind w:left="360"/>
        <w:rPr>
          <w:b/>
        </w:rPr>
      </w:pPr>
    </w:p>
    <w:p w:rsidR="000A6A84" w:rsidRDefault="000A6A84" w:rsidP="000A6A84">
      <w:r>
        <w:t>Edelberg requested that Commissioners forward preliminary questions via email to Cohen and will organize a separate informational conference call for Commissioners that have questions and concerns on this matter.</w:t>
      </w:r>
    </w:p>
    <w:p w:rsidR="006961F5" w:rsidRPr="000A6A84" w:rsidRDefault="006961F5" w:rsidP="000A6A84">
      <w:pPr>
        <w:rPr>
          <w:b/>
        </w:rPr>
      </w:pPr>
    </w:p>
    <w:p w:rsidR="0057334D" w:rsidRPr="005F3096" w:rsidRDefault="005F3096" w:rsidP="005F3096">
      <w:pPr>
        <w:rPr>
          <w:b/>
          <w:i/>
          <w:u w:val="single"/>
        </w:rPr>
      </w:pPr>
      <w:r>
        <w:rPr>
          <w:b/>
          <w:u w:val="single"/>
        </w:rPr>
        <w:t>Agenda Item 11</w:t>
      </w:r>
      <w:r w:rsidRPr="00C9665D">
        <w:rPr>
          <w:b/>
          <w:u w:val="single"/>
        </w:rPr>
        <w:t xml:space="preserve">: </w:t>
      </w:r>
      <w:r w:rsidR="0057334D" w:rsidRPr="005F3096">
        <w:rPr>
          <w:b/>
          <w:color w:val="000000"/>
          <w:u w:val="single"/>
        </w:rPr>
        <w:t>Comments and Questions</w:t>
      </w:r>
      <w:r w:rsidRPr="005F3096">
        <w:rPr>
          <w:b/>
          <w:color w:val="000000"/>
          <w:u w:val="single"/>
        </w:rPr>
        <w:t xml:space="preserve"> </w:t>
      </w:r>
      <w:r w:rsidR="0057334D" w:rsidRPr="005F3096">
        <w:rPr>
          <w:b/>
          <w:color w:val="000000"/>
          <w:u w:val="single"/>
        </w:rPr>
        <w:t>from Commissioners</w:t>
      </w:r>
    </w:p>
    <w:p w:rsidR="00AC7B6E" w:rsidRDefault="00AC7B6E" w:rsidP="0057334D">
      <w:pPr>
        <w:pStyle w:val="ListParagraph"/>
        <w:ind w:left="360"/>
        <w:rPr>
          <w:b/>
          <w:color w:val="000000"/>
        </w:rPr>
      </w:pPr>
    </w:p>
    <w:p w:rsidR="0057334D" w:rsidRDefault="005F3096" w:rsidP="0057334D">
      <w:pPr>
        <w:pStyle w:val="ListParagraph"/>
        <w:ind w:left="0"/>
      </w:pPr>
      <w:r>
        <w:t>No comments were brought up or questions asked by the Commissioners.</w:t>
      </w:r>
    </w:p>
    <w:p w:rsidR="005F3096" w:rsidRPr="000034B9" w:rsidRDefault="005F3096" w:rsidP="0057334D">
      <w:pPr>
        <w:pStyle w:val="ListParagraph"/>
        <w:ind w:left="0"/>
        <w:rPr>
          <w:i/>
        </w:rPr>
      </w:pPr>
    </w:p>
    <w:p w:rsidR="0057334D" w:rsidRPr="00AC7B6E" w:rsidRDefault="005F3096" w:rsidP="005F3096">
      <w:pPr>
        <w:rPr>
          <w:b/>
          <w:bCs/>
        </w:rPr>
      </w:pPr>
      <w:r>
        <w:rPr>
          <w:b/>
          <w:u w:val="single"/>
        </w:rPr>
        <w:t xml:space="preserve">Agenda Item 12: </w:t>
      </w:r>
      <w:r w:rsidR="0057334D" w:rsidRPr="005F3096">
        <w:rPr>
          <w:b/>
          <w:u w:val="single"/>
        </w:rPr>
        <w:t>Other Items of Business</w:t>
      </w:r>
      <w:r w:rsidR="0057334D" w:rsidRPr="006B595D">
        <w:rPr>
          <w:b/>
        </w:rPr>
        <w:t xml:space="preserve">                 </w:t>
      </w:r>
      <w:r w:rsidR="0057334D">
        <w:rPr>
          <w:b/>
        </w:rPr>
        <w:t xml:space="preserve">                     </w:t>
      </w:r>
    </w:p>
    <w:p w:rsidR="005F3096" w:rsidRDefault="005F3096" w:rsidP="005F3096">
      <w:pPr>
        <w:rPr>
          <w:b/>
        </w:rPr>
      </w:pPr>
    </w:p>
    <w:p w:rsidR="0057334D" w:rsidRDefault="005F3096" w:rsidP="005F3096">
      <w:r>
        <w:t>No other items of business were brought up by the Commissioners.</w:t>
      </w:r>
    </w:p>
    <w:p w:rsidR="005F3096" w:rsidRDefault="005F3096" w:rsidP="0057334D">
      <w:pPr>
        <w:ind w:left="360"/>
        <w:rPr>
          <w:b/>
          <w:bCs/>
        </w:rPr>
      </w:pPr>
    </w:p>
    <w:p w:rsidR="0057334D" w:rsidRPr="005A203E" w:rsidRDefault="005F3096" w:rsidP="005F3096">
      <w:pPr>
        <w:rPr>
          <w:b/>
          <w:bCs/>
        </w:rPr>
      </w:pPr>
      <w:r>
        <w:rPr>
          <w:b/>
          <w:u w:val="single"/>
        </w:rPr>
        <w:t>Agenda Item 13</w:t>
      </w:r>
      <w:r w:rsidRPr="00C9665D">
        <w:rPr>
          <w:b/>
          <w:u w:val="single"/>
        </w:rPr>
        <w:t xml:space="preserve">: </w:t>
      </w:r>
      <w:r w:rsidR="0057334D" w:rsidRPr="005F3096">
        <w:rPr>
          <w:b/>
          <w:u w:val="single"/>
        </w:rPr>
        <w:t xml:space="preserve">Adjournment </w:t>
      </w:r>
      <w:r w:rsidR="0057334D" w:rsidRPr="001A686C">
        <w:rPr>
          <w:b/>
        </w:rPr>
        <w:t xml:space="preserve">                                                      </w:t>
      </w:r>
    </w:p>
    <w:p w:rsidR="0057334D" w:rsidRDefault="0057334D" w:rsidP="00BC2CA8">
      <w:pPr>
        <w:tabs>
          <w:tab w:val="left" w:pos="5747"/>
        </w:tabs>
      </w:pPr>
    </w:p>
    <w:p w:rsidR="005F3096" w:rsidRDefault="005F3096" w:rsidP="005F3096">
      <w:pPr>
        <w:outlineLvl w:val="0"/>
      </w:pPr>
      <w:r>
        <w:t>Chairman Angelides requested a motion to adjourn the meeting at 1:30pm.</w:t>
      </w:r>
    </w:p>
    <w:p w:rsidR="005F3096" w:rsidRDefault="005F3096" w:rsidP="005F3096">
      <w:pPr>
        <w:pStyle w:val="NoSpacing"/>
      </w:pPr>
    </w:p>
    <w:p w:rsidR="005F3096" w:rsidRDefault="005F3096" w:rsidP="005F3096">
      <w:pPr>
        <w:pStyle w:val="NoSpacing"/>
        <w:ind w:left="2160" w:hanging="1440"/>
        <w:outlineLvl w:val="0"/>
      </w:pPr>
      <w:r>
        <w:t>MOTION:</w:t>
      </w:r>
      <w:r>
        <w:tab/>
        <w:t>Georgiou moved and Murren seconded a motion to adjourn the meeting.</w:t>
      </w:r>
    </w:p>
    <w:p w:rsidR="005F3096" w:rsidRDefault="005F3096" w:rsidP="005F3096">
      <w:pPr>
        <w:pStyle w:val="NoSpacing"/>
        <w:ind w:left="2160" w:hanging="2160"/>
      </w:pPr>
    </w:p>
    <w:p w:rsidR="005F3096" w:rsidRDefault="005F3096" w:rsidP="005F3096">
      <w:pPr>
        <w:pStyle w:val="NoSpacing"/>
        <w:ind w:left="2160" w:hanging="1440"/>
      </w:pPr>
      <w:r>
        <w:t>APPROVED:</w:t>
      </w:r>
      <w:r>
        <w:tab/>
        <w:t>8-0 (Commissioners Graham and Holtz-Eakin absent)</w:t>
      </w:r>
    </w:p>
    <w:p w:rsidR="005A5DAE" w:rsidRDefault="00C95722" w:rsidP="00BC2CA8">
      <w:pPr>
        <w:tabs>
          <w:tab w:val="left" w:pos="5747"/>
        </w:tabs>
      </w:pPr>
      <w:r>
        <w:br w:type="page"/>
      </w:r>
      <w:r w:rsidR="00BC2CA8">
        <w:lastRenderedPageBreak/>
        <w:tab/>
      </w:r>
    </w:p>
    <w:p w:rsidR="00F250CA" w:rsidRPr="001A686C" w:rsidRDefault="004136DA" w:rsidP="00F250CA">
      <w:pPr>
        <w:jc w:val="center"/>
        <w:rPr>
          <w:b/>
          <w:bCs/>
        </w:rPr>
      </w:pPr>
      <w:r>
        <w:rPr>
          <w:b/>
          <w:noProof/>
        </w:rPr>
        <w:drawing>
          <wp:inline distT="0" distB="0" distL="0" distR="0">
            <wp:extent cx="1238250" cy="1304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5128E2" w:rsidRDefault="005128E2" w:rsidP="005128E2">
      <w:pPr>
        <w:pStyle w:val="NoSpacing"/>
        <w:jc w:val="center"/>
        <w:outlineLvl w:val="0"/>
        <w:rPr>
          <w:b/>
          <w:sz w:val="28"/>
          <w:szCs w:val="28"/>
        </w:rPr>
      </w:pPr>
      <w:r>
        <w:rPr>
          <w:b/>
          <w:sz w:val="28"/>
          <w:szCs w:val="28"/>
        </w:rPr>
        <w:t>Financial Crisis Inquiry Commission</w:t>
      </w:r>
    </w:p>
    <w:p w:rsidR="005128E2" w:rsidRPr="002C4F0E" w:rsidRDefault="005128E2" w:rsidP="005128E2">
      <w:pPr>
        <w:pStyle w:val="NoSpacing"/>
        <w:jc w:val="center"/>
        <w:rPr>
          <w:b/>
        </w:rPr>
      </w:pPr>
      <w:r>
        <w:rPr>
          <w:b/>
        </w:rPr>
        <w:t>Agenda Item 3</w:t>
      </w:r>
      <w:r w:rsidRPr="002C4F0E">
        <w:rPr>
          <w:b/>
        </w:rPr>
        <w:t xml:space="preserve"> for </w:t>
      </w:r>
      <w:r>
        <w:rPr>
          <w:b/>
        </w:rPr>
        <w:t>Telephonic Business Meeting of October 12, 2010</w:t>
      </w:r>
    </w:p>
    <w:p w:rsidR="005128E2" w:rsidRPr="002C4F0E" w:rsidRDefault="005128E2" w:rsidP="005128E2">
      <w:pPr>
        <w:pStyle w:val="NoSpacing"/>
        <w:jc w:val="center"/>
        <w:rPr>
          <w:b/>
        </w:rPr>
      </w:pPr>
      <w:r w:rsidRPr="002C4F0E">
        <w:rPr>
          <w:b/>
        </w:rPr>
        <w:t xml:space="preserve">Minutes of </w:t>
      </w:r>
      <w:r>
        <w:rPr>
          <w:b/>
        </w:rPr>
        <w:t xml:space="preserve">Telephonic Business </w:t>
      </w:r>
      <w:r w:rsidRPr="002C4F0E">
        <w:rPr>
          <w:b/>
        </w:rPr>
        <w:t>Meeting</w:t>
      </w:r>
      <w:r>
        <w:rPr>
          <w:b/>
        </w:rPr>
        <w:t xml:space="preserve"> of</w:t>
      </w:r>
    </w:p>
    <w:p w:rsidR="005128E2" w:rsidRDefault="005128E2" w:rsidP="005128E2">
      <w:pPr>
        <w:pStyle w:val="NoSpacing"/>
        <w:jc w:val="center"/>
        <w:rPr>
          <w:b/>
        </w:rPr>
      </w:pPr>
      <w:r>
        <w:rPr>
          <w:b/>
        </w:rPr>
        <w:t>September 14, 2010</w:t>
      </w:r>
    </w:p>
    <w:p w:rsidR="00F250CA" w:rsidRPr="00F250CA" w:rsidRDefault="00F250CA" w:rsidP="00F250CA">
      <w:pPr>
        <w:pStyle w:val="NoSpacing"/>
        <w:jc w:val="center"/>
        <w:rPr>
          <w:b/>
        </w:rPr>
      </w:pPr>
    </w:p>
    <w:p w:rsidR="005128E2" w:rsidRDefault="005128E2" w:rsidP="005128E2">
      <w:pPr>
        <w:pStyle w:val="NoSpacing"/>
        <w:jc w:val="center"/>
        <w:outlineLvl w:val="0"/>
        <w:rPr>
          <w:b/>
          <w:sz w:val="28"/>
          <w:szCs w:val="28"/>
        </w:rPr>
      </w:pPr>
      <w:r>
        <w:rPr>
          <w:b/>
          <w:sz w:val="28"/>
          <w:szCs w:val="28"/>
        </w:rPr>
        <w:t>ATTACHMENT</w:t>
      </w:r>
    </w:p>
    <w:p w:rsidR="005128E2" w:rsidRPr="002C4F0E" w:rsidRDefault="005128E2" w:rsidP="005128E2">
      <w:pPr>
        <w:pStyle w:val="NoSpacing"/>
        <w:jc w:val="center"/>
        <w:rPr>
          <w:b/>
        </w:rPr>
      </w:pPr>
      <w:r>
        <w:rPr>
          <w:b/>
        </w:rPr>
        <w:t xml:space="preserve">Approved </w:t>
      </w:r>
      <w:r w:rsidRPr="002C4F0E">
        <w:rPr>
          <w:b/>
        </w:rPr>
        <w:t xml:space="preserve">Minutes of </w:t>
      </w:r>
      <w:r>
        <w:rPr>
          <w:b/>
        </w:rPr>
        <w:t xml:space="preserve">Telephonic Business </w:t>
      </w:r>
      <w:r w:rsidRPr="002C4F0E">
        <w:rPr>
          <w:b/>
        </w:rPr>
        <w:t>Meeting</w:t>
      </w:r>
      <w:r>
        <w:rPr>
          <w:b/>
        </w:rPr>
        <w:t xml:space="preserve"> of</w:t>
      </w:r>
    </w:p>
    <w:p w:rsidR="005128E2" w:rsidRDefault="005128E2" w:rsidP="005128E2">
      <w:pPr>
        <w:pStyle w:val="NoSpacing"/>
        <w:jc w:val="center"/>
        <w:rPr>
          <w:b/>
        </w:rPr>
      </w:pPr>
      <w:r>
        <w:rPr>
          <w:b/>
        </w:rPr>
        <w:t>August 17, 2010</w:t>
      </w:r>
    </w:p>
    <w:p w:rsidR="00BC2CA8" w:rsidRPr="006B595D" w:rsidRDefault="00BC2CA8" w:rsidP="00BC2CA8">
      <w:pPr>
        <w:rPr>
          <w:b/>
          <w:bCs/>
        </w:rPr>
      </w:pPr>
    </w:p>
    <w:p w:rsidR="00F250CA" w:rsidRDefault="00F250CA" w:rsidP="00F250CA">
      <w:pPr>
        <w:outlineLvl w:val="0"/>
        <w:rPr>
          <w:rFonts w:eastAsia="Calibri"/>
          <w:b/>
          <w:u w:val="single"/>
        </w:rPr>
      </w:pPr>
      <w:r w:rsidRPr="00CA64E2">
        <w:rPr>
          <w:rFonts w:eastAsia="Calibri"/>
          <w:b/>
          <w:u w:val="single"/>
        </w:rPr>
        <w:t>Agenda Item 1: Call to Order</w:t>
      </w:r>
    </w:p>
    <w:p w:rsidR="00F250CA" w:rsidRPr="00CA64E2" w:rsidRDefault="00F250CA" w:rsidP="00F250CA">
      <w:pPr>
        <w:rPr>
          <w:rFonts w:eastAsia="Calibri"/>
          <w:b/>
          <w:u w:val="single"/>
        </w:rPr>
      </w:pPr>
    </w:p>
    <w:p w:rsidR="00F250CA" w:rsidRDefault="00F250CA" w:rsidP="00F250CA">
      <w:pPr>
        <w:outlineLvl w:val="0"/>
        <w:rPr>
          <w:rFonts w:eastAsia="Calibri"/>
        </w:rPr>
      </w:pPr>
      <w:r w:rsidRPr="00CA64E2">
        <w:rPr>
          <w:rFonts w:eastAsia="Calibri"/>
        </w:rPr>
        <w:t xml:space="preserve">Chairman Angelides called the </w:t>
      </w:r>
      <w:r>
        <w:rPr>
          <w:rFonts w:eastAsia="Calibri"/>
        </w:rPr>
        <w:t>telephonic busines</w:t>
      </w:r>
      <w:r w:rsidR="00A079CA">
        <w:rPr>
          <w:rFonts w:eastAsia="Calibri"/>
        </w:rPr>
        <w:t>s meeting to order at 12:05pm ED</w:t>
      </w:r>
      <w:r>
        <w:rPr>
          <w:rFonts w:eastAsia="Calibri"/>
        </w:rPr>
        <w:t>T.</w:t>
      </w:r>
    </w:p>
    <w:p w:rsidR="00F250CA" w:rsidRDefault="00F250CA" w:rsidP="00F250CA">
      <w:pPr>
        <w:rPr>
          <w:rFonts w:ascii="Arial" w:hAnsi="Arial" w:cs="Arial"/>
          <w:sz w:val="20"/>
          <w:szCs w:val="20"/>
        </w:rPr>
      </w:pPr>
    </w:p>
    <w:p w:rsidR="00F250CA" w:rsidRPr="002C4F0E" w:rsidRDefault="00F250CA" w:rsidP="00F250CA">
      <w:pPr>
        <w:pStyle w:val="NoSpacing"/>
        <w:outlineLvl w:val="0"/>
      </w:pPr>
      <w:r>
        <w:rPr>
          <w:b/>
          <w:u w:val="single"/>
        </w:rPr>
        <w:t xml:space="preserve">Agenda Item </w:t>
      </w:r>
      <w:r w:rsidRPr="002C4F0E">
        <w:rPr>
          <w:b/>
          <w:u w:val="single"/>
        </w:rPr>
        <w:t xml:space="preserve"> 2: Roll Call</w:t>
      </w:r>
    </w:p>
    <w:p w:rsidR="00F250CA" w:rsidRPr="002C4F0E" w:rsidRDefault="00F250CA" w:rsidP="00F250CA">
      <w:pPr>
        <w:pStyle w:val="NoSpacing"/>
      </w:pPr>
    </w:p>
    <w:p w:rsidR="00F250CA" w:rsidRDefault="00F250CA" w:rsidP="00F250CA">
      <w:pPr>
        <w:pStyle w:val="NoSpacing"/>
      </w:pPr>
      <w:r w:rsidRPr="00D51ED3">
        <w:t>Chairman Angelides asked Gretchen Newsom to call</w:t>
      </w:r>
      <w:r>
        <w:t xml:space="preserve"> the roll of the Commissioners. </w:t>
      </w:r>
      <w:r w:rsidRPr="00D51ED3">
        <w:t xml:space="preserve">Present were Phil Angelides, </w:t>
      </w:r>
      <w:r>
        <w:t xml:space="preserve">Bill Thomas, </w:t>
      </w:r>
      <w:r w:rsidRPr="00D51ED3">
        <w:t>Brooksley B</w:t>
      </w:r>
      <w:r>
        <w:t xml:space="preserve">orn, Byron Georgiou, Bob Graham, Keith Hennessey, Doug Holtz-Eakin, </w:t>
      </w:r>
      <w:r w:rsidRPr="00D51ED3">
        <w:t xml:space="preserve">and </w:t>
      </w:r>
      <w:r>
        <w:t>John W. Thompson</w:t>
      </w:r>
      <w:r w:rsidRPr="00D51ED3">
        <w:t xml:space="preserve">.  </w:t>
      </w:r>
      <w:r>
        <w:t>Commissioner Wallison joined the call midway into Agenda Item 4</w:t>
      </w:r>
      <w:r w:rsidR="00DB23C7">
        <w:t xml:space="preserve"> and Commissioner Murren joined midway through Agenda Item 7. </w:t>
      </w:r>
    </w:p>
    <w:p w:rsidR="00F250CA" w:rsidRPr="002C4F0E" w:rsidRDefault="00F250CA" w:rsidP="00F250CA">
      <w:pPr>
        <w:pStyle w:val="NoSpacing"/>
      </w:pPr>
    </w:p>
    <w:p w:rsidR="00F250CA" w:rsidRDefault="00F250CA" w:rsidP="00F250CA">
      <w:pPr>
        <w:pStyle w:val="NoSpacing"/>
        <w:tabs>
          <w:tab w:val="left" w:pos="810"/>
        </w:tabs>
      </w:pPr>
      <w:r w:rsidRPr="002C4F0E">
        <w:t>Also participating in the meeting</w:t>
      </w:r>
      <w:r>
        <w:t xml:space="preserve"> were</w:t>
      </w:r>
      <w:r w:rsidRPr="002C4F0E">
        <w:t xml:space="preserve">: </w:t>
      </w:r>
      <w:r>
        <w:t>Wendy Edelberg</w:t>
      </w:r>
      <w:r w:rsidRPr="002C4F0E">
        <w:t xml:space="preserve">, Executive Director; </w:t>
      </w:r>
      <w:r>
        <w:t>Gary Cohen, General Counsel;</w:t>
      </w:r>
      <w:r w:rsidRPr="002C4F0E">
        <w:t xml:space="preserve"> Gretchen Newsom, a</w:t>
      </w:r>
      <w:r>
        <w:t xml:space="preserve">ssistant to Chairman Angelides; </w:t>
      </w:r>
      <w:r w:rsidR="00076DC0">
        <w:t xml:space="preserve">and </w:t>
      </w:r>
      <w:r w:rsidRPr="002C4F0E">
        <w:t>Scott Ganz, as</w:t>
      </w:r>
      <w:r>
        <w:t>sistant to Vi</w:t>
      </w:r>
      <w:r w:rsidR="004C5ED2">
        <w:t>ce Chairman Thomas.</w:t>
      </w:r>
    </w:p>
    <w:p w:rsidR="005A5DAE" w:rsidRPr="005A5DAE" w:rsidRDefault="005A5DAE" w:rsidP="005A5DAE">
      <w:pPr>
        <w:pStyle w:val="ListParagraph"/>
        <w:ind w:left="0"/>
        <w:rPr>
          <w:bCs/>
        </w:rPr>
      </w:pPr>
    </w:p>
    <w:p w:rsidR="00076DC0" w:rsidRPr="002C4F0E" w:rsidRDefault="00076DC0" w:rsidP="00076DC0">
      <w:pPr>
        <w:pStyle w:val="NoSpacing"/>
        <w:tabs>
          <w:tab w:val="left" w:pos="810"/>
        </w:tabs>
        <w:outlineLvl w:val="0"/>
      </w:pPr>
      <w:r w:rsidRPr="002C4F0E">
        <w:rPr>
          <w:b/>
          <w:u w:val="single"/>
        </w:rPr>
        <w:t xml:space="preserve">Agenda Item </w:t>
      </w:r>
      <w:r>
        <w:rPr>
          <w:b/>
          <w:u w:val="single"/>
        </w:rPr>
        <w:t>3</w:t>
      </w:r>
      <w:r w:rsidRPr="002C4F0E">
        <w:rPr>
          <w:b/>
          <w:u w:val="single"/>
        </w:rPr>
        <w:t xml:space="preserve">: Approval of Minutes of Meeting, </w:t>
      </w:r>
      <w:r w:rsidRPr="00076DC0">
        <w:rPr>
          <w:b/>
          <w:u w:val="single"/>
        </w:rPr>
        <w:t>July 13, 2010</w:t>
      </w:r>
    </w:p>
    <w:p w:rsidR="00076DC0" w:rsidRPr="002C4F0E" w:rsidRDefault="00076DC0" w:rsidP="00076DC0">
      <w:pPr>
        <w:pStyle w:val="NoSpacing"/>
        <w:tabs>
          <w:tab w:val="left" w:pos="810"/>
        </w:tabs>
      </w:pPr>
    </w:p>
    <w:p w:rsidR="00076DC0" w:rsidRDefault="00076DC0" w:rsidP="00076DC0">
      <w:r w:rsidRPr="002C4F0E">
        <w:t xml:space="preserve">Chairman Angelides introduced the minutes from the FCIC meeting of </w:t>
      </w:r>
      <w:r>
        <w:t xml:space="preserve">July 13, 2010. Commissioner Hennessey asked for a revision to the minutes: at the end of the section for Agenda Item 6, insert before the last sentence: </w:t>
      </w:r>
      <w:r w:rsidRPr="000D0162">
        <w:t>“Commissioner Hennessey described a possible alternate structure for the report.”</w:t>
      </w:r>
    </w:p>
    <w:p w:rsidR="00076DC0" w:rsidRPr="002C4F0E" w:rsidRDefault="00076DC0" w:rsidP="00076DC0">
      <w:pPr>
        <w:pStyle w:val="NoSpacing"/>
        <w:tabs>
          <w:tab w:val="left" w:pos="810"/>
        </w:tabs>
      </w:pPr>
    </w:p>
    <w:p w:rsidR="00076DC0" w:rsidRDefault="00076DC0" w:rsidP="00076DC0">
      <w:pPr>
        <w:pStyle w:val="NoSpacing"/>
        <w:tabs>
          <w:tab w:val="left" w:pos="810"/>
        </w:tabs>
        <w:ind w:left="2160" w:hanging="1440"/>
      </w:pPr>
      <w:r w:rsidRPr="002C4F0E">
        <w:t>MOTION:</w:t>
      </w:r>
      <w:r w:rsidRPr="002C4F0E">
        <w:tab/>
      </w:r>
      <w:r>
        <w:t>Holtz-Eakin moved and Thompson seconded a</w:t>
      </w:r>
      <w:r w:rsidRPr="002C4F0E">
        <w:t xml:space="preserve"> motion to adopt</w:t>
      </w:r>
      <w:r>
        <w:t xml:space="preserve"> the meeting minutes (attached) and the insertion requested by Commissioner Hennessey subject to verification by staff.</w:t>
      </w:r>
    </w:p>
    <w:p w:rsidR="00076DC0" w:rsidRPr="002C4F0E" w:rsidRDefault="00076DC0" w:rsidP="00076DC0">
      <w:pPr>
        <w:pStyle w:val="NoSpacing"/>
        <w:tabs>
          <w:tab w:val="left" w:pos="810"/>
        </w:tabs>
        <w:ind w:left="2160" w:hanging="2160"/>
      </w:pPr>
    </w:p>
    <w:p w:rsidR="00076DC0" w:rsidRDefault="00076DC0" w:rsidP="00076DC0">
      <w:pPr>
        <w:pStyle w:val="NoSpacing"/>
        <w:tabs>
          <w:tab w:val="left" w:pos="810"/>
        </w:tabs>
        <w:ind w:left="2160" w:hanging="1440"/>
      </w:pPr>
      <w:r>
        <w:t>APPROVED:</w:t>
      </w:r>
      <w:r>
        <w:tab/>
        <w:t xml:space="preserve">8-0 (Commissioners Wallison and Murren absent; Commissioner Georgiou abstained as he was not present at the </w:t>
      </w:r>
      <w:r w:rsidR="00F302D0">
        <w:t>July 13</w:t>
      </w:r>
      <w:r w:rsidR="00F302D0" w:rsidRPr="00F302D0">
        <w:rPr>
          <w:vertAlign w:val="superscript"/>
        </w:rPr>
        <w:t>th</w:t>
      </w:r>
      <w:r w:rsidR="00F302D0">
        <w:t xml:space="preserve"> </w:t>
      </w:r>
      <w:r w:rsidR="00E057FD">
        <w:t>meeting.</w:t>
      </w:r>
    </w:p>
    <w:p w:rsidR="004D78D1" w:rsidRDefault="004D78D1" w:rsidP="00BC2CA8">
      <w:pPr>
        <w:rPr>
          <w:b/>
          <w:bCs/>
        </w:rPr>
      </w:pPr>
    </w:p>
    <w:p w:rsidR="00076DC0" w:rsidRDefault="00076DC0" w:rsidP="00076DC0">
      <w:pPr>
        <w:pStyle w:val="ListParagraph"/>
        <w:ind w:left="0"/>
        <w:rPr>
          <w:b/>
        </w:rPr>
      </w:pPr>
      <w:r w:rsidRPr="002C4F0E">
        <w:rPr>
          <w:b/>
          <w:u w:val="single"/>
        </w:rPr>
        <w:t xml:space="preserve">Agenda Item </w:t>
      </w:r>
      <w:r>
        <w:rPr>
          <w:b/>
          <w:u w:val="single"/>
        </w:rPr>
        <w:t xml:space="preserve">4: </w:t>
      </w:r>
      <w:r w:rsidRPr="0069322B">
        <w:rPr>
          <w:b/>
          <w:u w:val="single"/>
        </w:rPr>
        <w:t>Chairman’s and Vice Chairman’s Report</w:t>
      </w:r>
      <w:r w:rsidRPr="008C737C">
        <w:rPr>
          <w:b/>
        </w:rPr>
        <w:tab/>
      </w:r>
    </w:p>
    <w:p w:rsidR="00076DC0" w:rsidRDefault="00076DC0" w:rsidP="00076DC0">
      <w:pPr>
        <w:pStyle w:val="ListParagraph"/>
        <w:outlineLvl w:val="0"/>
        <w:rPr>
          <w:b/>
        </w:rPr>
      </w:pPr>
    </w:p>
    <w:p w:rsidR="004D78D1" w:rsidRDefault="00076DC0" w:rsidP="00656998">
      <w:pPr>
        <w:pStyle w:val="ListParagraph"/>
        <w:ind w:left="0"/>
        <w:outlineLvl w:val="0"/>
      </w:pPr>
      <w:r>
        <w:t xml:space="preserve">Chairman Angelides and Vice Chairman Thomas briefed the Commissioners on the selection of Little Brown as publisher of the official report of the Commission. </w:t>
      </w:r>
      <w:r w:rsidR="00656998">
        <w:t>The Commission was informed during the last retreat (July 28</w:t>
      </w:r>
      <w:r w:rsidR="00656998" w:rsidRPr="00656998">
        <w:rPr>
          <w:vertAlign w:val="superscript"/>
        </w:rPr>
        <w:t>th</w:t>
      </w:r>
      <w:r w:rsidR="00656998">
        <w:t xml:space="preserve"> and 29</w:t>
      </w:r>
      <w:r w:rsidR="00656998" w:rsidRPr="00656998">
        <w:rPr>
          <w:vertAlign w:val="superscript"/>
        </w:rPr>
        <w:t>th</w:t>
      </w:r>
      <w:r w:rsidR="00656998">
        <w:t xml:space="preserve">) of the process for selecting a publisher and the use of literary agents. The literary agents proposed two finalist candidates for publisher and the Chairman and Vice Chairman mutually agreed upon Little Brown.  </w:t>
      </w:r>
      <w:r w:rsidR="007F14BB">
        <w:t>It was noted that t</w:t>
      </w:r>
      <w:r w:rsidR="004C5ED2">
        <w:t>his publisher particularly excelled in the field of e-books. Chairman Angelides noted that the financial terms of the agreement have not yet been made public and a formal contract has not been executed.</w:t>
      </w:r>
    </w:p>
    <w:p w:rsidR="00656998" w:rsidRDefault="00656998" w:rsidP="00656998">
      <w:pPr>
        <w:pStyle w:val="ListParagraph"/>
        <w:ind w:left="0"/>
        <w:outlineLvl w:val="0"/>
      </w:pPr>
    </w:p>
    <w:p w:rsidR="00656998" w:rsidRDefault="00656998" w:rsidP="00656998">
      <w:pPr>
        <w:pStyle w:val="ListParagraph"/>
        <w:ind w:left="0"/>
        <w:outlineLvl w:val="0"/>
      </w:pPr>
      <w:r>
        <w:t xml:space="preserve">Chairman Angelides and Vice Chairman Thomas then spoke broadly about the different facets of the report: </w:t>
      </w:r>
      <w:r w:rsidR="004C5ED2">
        <w:t>a physical book/report; an e-book with hyperlinks to expanded material and sources; and a virtual library of documents, interviews, video clips, etc. for review by scholars, reporters, and other interested parties. Discussion ensued on how to construct a user friendly electronic library.</w:t>
      </w:r>
    </w:p>
    <w:p w:rsidR="007471DA" w:rsidRDefault="007471DA" w:rsidP="00656998">
      <w:pPr>
        <w:pStyle w:val="ListParagraph"/>
        <w:ind w:left="0"/>
        <w:outlineLvl w:val="0"/>
      </w:pPr>
    </w:p>
    <w:p w:rsidR="007471DA" w:rsidRDefault="007471DA" w:rsidP="00656998">
      <w:pPr>
        <w:pStyle w:val="ListParagraph"/>
        <w:ind w:left="0"/>
        <w:outlineLvl w:val="0"/>
        <w:rPr>
          <w:b/>
        </w:rPr>
      </w:pPr>
      <w:r>
        <w:t>Chairman Angelides advised the Commissioners that the forthcoming hearing on “Too Big to Fail” (September 1</w:t>
      </w:r>
      <w:r w:rsidRPr="007471DA">
        <w:rPr>
          <w:vertAlign w:val="superscript"/>
        </w:rPr>
        <w:t>st</w:t>
      </w:r>
      <w:r>
        <w:t>) might be split into two days but would maintain the same amount of time for Commissioner deliberations during the upcoming retreat (September 2</w:t>
      </w:r>
      <w:r w:rsidRPr="007471DA">
        <w:rPr>
          <w:vertAlign w:val="superscript"/>
        </w:rPr>
        <w:t>nd</w:t>
      </w:r>
      <w:r>
        <w:t xml:space="preserve"> and 3</w:t>
      </w:r>
      <w:r w:rsidRPr="007471DA">
        <w:rPr>
          <w:vertAlign w:val="superscript"/>
        </w:rPr>
        <w:t>rd</w:t>
      </w:r>
      <w:r>
        <w:t>).  The Commissioners will focus on areas of agreement and disagreement with the aim to help guide on the writing of the report.</w:t>
      </w:r>
    </w:p>
    <w:p w:rsidR="00245910" w:rsidRDefault="00245910" w:rsidP="007471DA">
      <w:pPr>
        <w:pStyle w:val="ListParagraph"/>
        <w:ind w:left="0"/>
        <w:outlineLvl w:val="0"/>
        <w:rPr>
          <w:b/>
        </w:rPr>
      </w:pPr>
    </w:p>
    <w:p w:rsidR="007471DA" w:rsidRPr="00C33562" w:rsidRDefault="007471DA" w:rsidP="007471DA">
      <w:pPr>
        <w:pStyle w:val="ListParagraph"/>
        <w:ind w:left="0"/>
        <w:rPr>
          <w:b/>
        </w:rPr>
      </w:pPr>
      <w:r w:rsidRPr="002C4F0E">
        <w:rPr>
          <w:b/>
          <w:u w:val="single"/>
        </w:rPr>
        <w:t xml:space="preserve">Agenda Item </w:t>
      </w:r>
      <w:r>
        <w:rPr>
          <w:b/>
          <w:u w:val="single"/>
        </w:rPr>
        <w:t xml:space="preserve">5: </w:t>
      </w:r>
      <w:r w:rsidRPr="0069322B">
        <w:rPr>
          <w:b/>
          <w:u w:val="single"/>
        </w:rPr>
        <w:t>Executive Director’s Report</w:t>
      </w:r>
      <w:r>
        <w:rPr>
          <w:b/>
        </w:rPr>
        <w:tab/>
      </w:r>
      <w:r>
        <w:rPr>
          <w:b/>
        </w:rPr>
        <w:tab/>
      </w:r>
      <w:r>
        <w:rPr>
          <w:b/>
        </w:rPr>
        <w:tab/>
      </w:r>
    </w:p>
    <w:p w:rsidR="007471DA" w:rsidRDefault="007471DA" w:rsidP="007471DA">
      <w:pPr>
        <w:pStyle w:val="ListParagraph"/>
        <w:ind w:left="0"/>
        <w:rPr>
          <w:b/>
        </w:rPr>
      </w:pPr>
    </w:p>
    <w:p w:rsidR="008F5F6F" w:rsidRDefault="007471DA" w:rsidP="00DB23C7">
      <w:pPr>
        <w:pStyle w:val="ListParagraph"/>
        <w:ind w:left="0"/>
      </w:pPr>
      <w:r>
        <w:t xml:space="preserve">Executive Director Wendy Edelberg informed the Commissioners that Congress has approved an additional appropriation to the Commission in the amount of $1.8 billion. This appropriation will be used to hire additional staff, conduct additional document review, and </w:t>
      </w:r>
      <w:r w:rsidR="00DB23C7">
        <w:t xml:space="preserve">provide additional resources to the staff.  Edelberg also updated the Commission on the hiring of additional writers and reporters. </w:t>
      </w:r>
    </w:p>
    <w:p w:rsidR="00DB23C7" w:rsidRDefault="00DB23C7" w:rsidP="00DB23C7">
      <w:pPr>
        <w:pStyle w:val="ListParagraph"/>
        <w:ind w:left="0"/>
      </w:pPr>
    </w:p>
    <w:p w:rsidR="00DB23C7" w:rsidRPr="00DB23C7" w:rsidRDefault="00DB23C7" w:rsidP="00DB23C7">
      <w:pPr>
        <w:pStyle w:val="ListParagraph"/>
        <w:ind w:left="0"/>
      </w:pPr>
      <w:r w:rsidRPr="002C4F0E">
        <w:rPr>
          <w:b/>
          <w:u w:val="single"/>
        </w:rPr>
        <w:t xml:space="preserve">Agenda Item </w:t>
      </w:r>
      <w:r>
        <w:rPr>
          <w:b/>
          <w:u w:val="single"/>
        </w:rPr>
        <w:t>6</w:t>
      </w:r>
      <w:r w:rsidRPr="0069322B">
        <w:rPr>
          <w:b/>
          <w:u w:val="single"/>
        </w:rPr>
        <w:t>: Update on the Report</w:t>
      </w:r>
      <w:r>
        <w:rPr>
          <w:b/>
        </w:rPr>
        <w:tab/>
      </w:r>
    </w:p>
    <w:p w:rsidR="008F5F6F" w:rsidRDefault="008F5F6F" w:rsidP="008F5F6F">
      <w:pPr>
        <w:pStyle w:val="ListParagraph"/>
        <w:rPr>
          <w:b/>
        </w:rPr>
      </w:pPr>
    </w:p>
    <w:p w:rsidR="008F5F6F" w:rsidRDefault="00DB23C7" w:rsidP="00DB23C7">
      <w:pPr>
        <w:pStyle w:val="ListParagraph"/>
        <w:ind w:left="0"/>
        <w:rPr>
          <w:b/>
          <w:color w:val="000000"/>
        </w:rPr>
      </w:pPr>
      <w:r>
        <w:t xml:space="preserve">Executive Director Wendy Edelberg briefed the Commission on the progress being made on the report and noted that internal deadlines are in place to ensure the Commissioners receive a high quality product for their review in September. </w:t>
      </w:r>
    </w:p>
    <w:p w:rsidR="008F5F6F" w:rsidRDefault="008F5F6F" w:rsidP="00BC2CA8">
      <w:pPr>
        <w:pStyle w:val="ListParagraph"/>
        <w:ind w:left="0"/>
        <w:rPr>
          <w:b/>
          <w:color w:val="000000"/>
        </w:rPr>
      </w:pPr>
    </w:p>
    <w:p w:rsidR="00DB23C7" w:rsidRPr="00DB23C7" w:rsidRDefault="00DB23C7" w:rsidP="00BC2CA8">
      <w:pPr>
        <w:pStyle w:val="ListParagraph"/>
        <w:ind w:left="0"/>
        <w:rPr>
          <w:b/>
          <w:color w:val="000000"/>
          <w:u w:val="single"/>
        </w:rPr>
      </w:pPr>
      <w:r w:rsidRPr="002C4F0E">
        <w:rPr>
          <w:b/>
          <w:u w:val="single"/>
        </w:rPr>
        <w:t xml:space="preserve">Agenda Item </w:t>
      </w:r>
      <w:r>
        <w:rPr>
          <w:b/>
          <w:u w:val="single"/>
        </w:rPr>
        <w:t>7</w:t>
      </w:r>
      <w:r w:rsidRPr="0069322B">
        <w:rPr>
          <w:b/>
          <w:u w:val="single"/>
        </w:rPr>
        <w:t xml:space="preserve">: </w:t>
      </w:r>
      <w:r>
        <w:rPr>
          <w:b/>
          <w:color w:val="000000"/>
          <w:u w:val="single"/>
        </w:rPr>
        <w:t>Upcoming September 2-3 Meeting</w:t>
      </w:r>
    </w:p>
    <w:p w:rsidR="00DD4A64" w:rsidRDefault="00DD4A64" w:rsidP="00DD4A64">
      <w:pPr>
        <w:pStyle w:val="ListParagraph"/>
        <w:rPr>
          <w:b/>
        </w:rPr>
      </w:pPr>
    </w:p>
    <w:p w:rsidR="00DB23C7" w:rsidRDefault="00DB23C7" w:rsidP="00DB23C7">
      <w:pPr>
        <w:pStyle w:val="ListParagraph"/>
        <w:ind w:left="0"/>
      </w:pPr>
      <w:r>
        <w:t>Chairman Angelides and Vice Chairman Thomas led a broad discussion on what outcomes the Commissioners wish to see from the September 2</w:t>
      </w:r>
      <w:r w:rsidRPr="00DB23C7">
        <w:rPr>
          <w:vertAlign w:val="superscript"/>
        </w:rPr>
        <w:t>nd</w:t>
      </w:r>
      <w:r>
        <w:t xml:space="preserve"> and 3</w:t>
      </w:r>
      <w:r w:rsidRPr="00DB23C7">
        <w:rPr>
          <w:vertAlign w:val="superscript"/>
        </w:rPr>
        <w:t>rd</w:t>
      </w:r>
      <w:r>
        <w:t xml:space="preserve"> retreat meetings. There was general agreement that the Commissioners would focus on major issues that need agreement wherein disagreement might lie and that the Commissioners would prioritize these issues by importance to the final product.  </w:t>
      </w:r>
    </w:p>
    <w:p w:rsidR="00DB23C7" w:rsidRDefault="00DB23C7" w:rsidP="00DB23C7">
      <w:pPr>
        <w:pStyle w:val="ListParagraph"/>
        <w:ind w:left="0"/>
      </w:pPr>
    </w:p>
    <w:p w:rsidR="00883514" w:rsidRPr="00DB23C7" w:rsidRDefault="00DB23C7" w:rsidP="00DB23C7">
      <w:pPr>
        <w:pStyle w:val="ListParagraph"/>
        <w:ind w:left="0"/>
        <w:rPr>
          <w:b/>
        </w:rPr>
      </w:pPr>
      <w:r w:rsidRPr="002C4F0E">
        <w:rPr>
          <w:b/>
          <w:u w:val="single"/>
        </w:rPr>
        <w:t xml:space="preserve">Agenda Item </w:t>
      </w:r>
      <w:r>
        <w:rPr>
          <w:b/>
          <w:u w:val="single"/>
        </w:rPr>
        <w:t>8</w:t>
      </w:r>
      <w:r w:rsidRPr="0069322B">
        <w:rPr>
          <w:b/>
          <w:u w:val="single"/>
        </w:rPr>
        <w:t xml:space="preserve">: </w:t>
      </w:r>
      <w:r w:rsidR="00883514" w:rsidRPr="00DB23C7">
        <w:rPr>
          <w:b/>
          <w:u w:val="single"/>
        </w:rPr>
        <w:t>Approval of Continuation of Designation</w:t>
      </w:r>
      <w:r w:rsidRPr="00DB23C7">
        <w:rPr>
          <w:b/>
          <w:u w:val="single"/>
        </w:rPr>
        <w:t xml:space="preserve"> </w:t>
      </w:r>
      <w:r w:rsidR="00883514" w:rsidRPr="00DB23C7">
        <w:rPr>
          <w:b/>
          <w:u w:val="single"/>
        </w:rPr>
        <w:t>Of Commissioners as Special Government</w:t>
      </w:r>
      <w:r w:rsidRPr="00DB23C7">
        <w:rPr>
          <w:b/>
          <w:u w:val="single"/>
        </w:rPr>
        <w:t xml:space="preserve"> </w:t>
      </w:r>
      <w:r w:rsidR="00883514" w:rsidRPr="00DB23C7">
        <w:rPr>
          <w:b/>
          <w:u w:val="single"/>
        </w:rPr>
        <w:t>Employees</w:t>
      </w:r>
    </w:p>
    <w:p w:rsidR="00883514" w:rsidRDefault="00883514" w:rsidP="00883514">
      <w:pPr>
        <w:pStyle w:val="ListParagraph"/>
        <w:rPr>
          <w:b/>
          <w:color w:val="000000"/>
        </w:rPr>
      </w:pPr>
    </w:p>
    <w:p w:rsidR="00A47D1E" w:rsidRDefault="00DB23C7" w:rsidP="00C6740D">
      <w:pPr>
        <w:pStyle w:val="ListParagraph"/>
        <w:ind w:left="0"/>
        <w:rPr>
          <w:b/>
          <w:color w:val="000000"/>
        </w:rPr>
      </w:pPr>
      <w:r>
        <w:rPr>
          <w:color w:val="000000"/>
        </w:rPr>
        <w:lastRenderedPageBreak/>
        <w:t>General Counsel Gary Cohen introduced the resolution to continue the designation of Commissioners as Special Government Employees.  He noted that some Commissioners ma</w:t>
      </w:r>
      <w:r w:rsidR="00032731">
        <w:rPr>
          <w:color w:val="000000"/>
        </w:rPr>
        <w:t>y have exceeded the maximum number of days worked as special government employees, but this does not disqualify Commissioners from continuing as spe</w:t>
      </w:r>
      <w:r w:rsidR="00C6740D">
        <w:rPr>
          <w:color w:val="000000"/>
        </w:rPr>
        <w:t xml:space="preserve">cial government employees as our Commission terminates in February and Commissioners are highly unlikely to exceed the 130 day maximum. </w:t>
      </w:r>
      <w:r w:rsidR="00032731">
        <w:rPr>
          <w:color w:val="000000"/>
        </w:rPr>
        <w:t xml:space="preserve">  </w:t>
      </w:r>
    </w:p>
    <w:p w:rsidR="00C6740D" w:rsidRDefault="00C6740D" w:rsidP="00C6740D">
      <w:pPr>
        <w:pStyle w:val="ListParagraph"/>
        <w:ind w:left="0"/>
        <w:rPr>
          <w:b/>
          <w:color w:val="000000"/>
        </w:rPr>
      </w:pPr>
    </w:p>
    <w:p w:rsidR="00C6740D" w:rsidRDefault="00C6740D" w:rsidP="00C6740D">
      <w:pPr>
        <w:pStyle w:val="NoSpacing"/>
        <w:tabs>
          <w:tab w:val="left" w:pos="810"/>
        </w:tabs>
        <w:ind w:left="2160" w:hanging="1440"/>
      </w:pPr>
      <w:r w:rsidRPr="002C4F0E">
        <w:t>MOTION:</w:t>
      </w:r>
      <w:r w:rsidRPr="002C4F0E">
        <w:tab/>
      </w:r>
      <w:r>
        <w:t>Born moved and Holtz-Eakin seconded a</w:t>
      </w:r>
      <w:r w:rsidRPr="002C4F0E">
        <w:t xml:space="preserve"> motion to adopt</w:t>
      </w:r>
      <w:r>
        <w:t xml:space="preserve"> the delegation of continuation of Commissioners as Special Government Employees.</w:t>
      </w:r>
    </w:p>
    <w:p w:rsidR="00C6740D" w:rsidRPr="002C4F0E" w:rsidRDefault="00C6740D" w:rsidP="00C6740D">
      <w:pPr>
        <w:pStyle w:val="NoSpacing"/>
        <w:tabs>
          <w:tab w:val="left" w:pos="810"/>
        </w:tabs>
        <w:ind w:left="2160" w:hanging="2160"/>
      </w:pPr>
    </w:p>
    <w:p w:rsidR="00C6740D" w:rsidRDefault="00C6740D" w:rsidP="00C6740D">
      <w:pPr>
        <w:pStyle w:val="NoSpacing"/>
        <w:tabs>
          <w:tab w:val="left" w:pos="810"/>
        </w:tabs>
        <w:ind w:left="2160" w:hanging="1440"/>
      </w:pPr>
      <w:r>
        <w:t>APPROVED:</w:t>
      </w:r>
      <w:r>
        <w:tab/>
        <w:t xml:space="preserve">10-0 </w:t>
      </w:r>
    </w:p>
    <w:p w:rsidR="00C6740D" w:rsidRDefault="00C6740D" w:rsidP="00C6740D">
      <w:pPr>
        <w:pStyle w:val="ListParagraph"/>
        <w:ind w:left="0"/>
        <w:rPr>
          <w:b/>
          <w:color w:val="000000"/>
        </w:rPr>
      </w:pPr>
    </w:p>
    <w:p w:rsidR="00A47D1E" w:rsidRDefault="00A47D1E" w:rsidP="00883514">
      <w:pPr>
        <w:pStyle w:val="ListParagraph"/>
        <w:rPr>
          <w:b/>
          <w:color w:val="000000"/>
        </w:rPr>
      </w:pPr>
    </w:p>
    <w:p w:rsidR="001340A8" w:rsidRDefault="00C6740D" w:rsidP="00C6740D">
      <w:pPr>
        <w:pStyle w:val="ListParagraph"/>
        <w:ind w:left="0"/>
        <w:rPr>
          <w:b/>
        </w:rPr>
      </w:pPr>
      <w:r w:rsidRPr="002C4F0E">
        <w:rPr>
          <w:b/>
          <w:u w:val="single"/>
        </w:rPr>
        <w:t xml:space="preserve">Agenda Item </w:t>
      </w:r>
      <w:r>
        <w:rPr>
          <w:b/>
          <w:u w:val="single"/>
        </w:rPr>
        <w:t xml:space="preserve">9: </w:t>
      </w:r>
      <w:r w:rsidR="001340A8" w:rsidRPr="00C6740D">
        <w:rPr>
          <w:b/>
          <w:u w:val="single"/>
        </w:rPr>
        <w:t>Revised Future Meeting Schedule</w:t>
      </w:r>
      <w:r w:rsidR="001340A8">
        <w:rPr>
          <w:b/>
        </w:rPr>
        <w:tab/>
      </w:r>
      <w:r w:rsidR="001340A8">
        <w:rPr>
          <w:b/>
        </w:rPr>
        <w:tab/>
      </w:r>
    </w:p>
    <w:p w:rsidR="00A47D1E" w:rsidRDefault="00A47D1E" w:rsidP="00C6740D">
      <w:pPr>
        <w:pStyle w:val="ListParagraph"/>
        <w:ind w:left="0"/>
        <w:rPr>
          <w:b/>
        </w:rPr>
      </w:pPr>
    </w:p>
    <w:p w:rsidR="00C6740D" w:rsidRDefault="00C6740D" w:rsidP="00C6740D">
      <w:pPr>
        <w:pStyle w:val="ListParagraph"/>
        <w:ind w:left="0"/>
      </w:pPr>
      <w:r>
        <w:t>Chairman Angelides and Vice Chairman Thomas introduced the revised meeting schedule.  Commissioners did not raise questions or objections.</w:t>
      </w:r>
    </w:p>
    <w:p w:rsidR="00C6740D" w:rsidRPr="001340A8" w:rsidRDefault="00C6740D" w:rsidP="00C6740D">
      <w:pPr>
        <w:pStyle w:val="ListParagraph"/>
        <w:ind w:left="0"/>
        <w:rPr>
          <w:b/>
        </w:rPr>
      </w:pPr>
      <w:r>
        <w:t xml:space="preserve"> </w:t>
      </w:r>
    </w:p>
    <w:p w:rsidR="00BC2CA8" w:rsidRPr="00792E49" w:rsidRDefault="00C6740D" w:rsidP="00C6740D">
      <w:pPr>
        <w:pStyle w:val="ListParagraph"/>
        <w:ind w:left="0"/>
        <w:rPr>
          <w:b/>
        </w:rPr>
      </w:pPr>
      <w:r w:rsidRPr="002C4F0E">
        <w:rPr>
          <w:b/>
          <w:u w:val="single"/>
        </w:rPr>
        <w:t xml:space="preserve">Agenda Item </w:t>
      </w:r>
      <w:r>
        <w:rPr>
          <w:b/>
          <w:u w:val="single"/>
        </w:rPr>
        <w:t xml:space="preserve">10: </w:t>
      </w:r>
      <w:r w:rsidR="00BC2CA8" w:rsidRPr="00C6740D">
        <w:rPr>
          <w:b/>
          <w:color w:val="000000"/>
          <w:u w:val="single"/>
        </w:rPr>
        <w:t>Comments and Questions</w:t>
      </w:r>
      <w:r w:rsidRPr="00C6740D">
        <w:rPr>
          <w:b/>
          <w:color w:val="000000"/>
          <w:u w:val="single"/>
        </w:rPr>
        <w:t xml:space="preserve"> </w:t>
      </w:r>
      <w:r w:rsidR="00BC2CA8" w:rsidRPr="00C6740D">
        <w:rPr>
          <w:b/>
          <w:color w:val="000000"/>
          <w:u w:val="single"/>
        </w:rPr>
        <w:t>from Commissioners</w:t>
      </w:r>
    </w:p>
    <w:p w:rsidR="00BC2CA8" w:rsidRDefault="00BC2CA8" w:rsidP="001340A8">
      <w:pPr>
        <w:pStyle w:val="ListParagraph"/>
        <w:ind w:left="0"/>
        <w:rPr>
          <w:i/>
        </w:rPr>
      </w:pPr>
    </w:p>
    <w:p w:rsidR="00371AD1" w:rsidRPr="00371AD1" w:rsidRDefault="00371AD1" w:rsidP="00371AD1">
      <w:r w:rsidRPr="00371AD1">
        <w:t>Commissioner Thompson raised concerns in regard to the recent electronic communications among Gary Cohen, Chairman Angelides and Commissioner Wallison concerning Mr. Cohen’s opinion that Commissioner Wallison had violated the Ethics Guidelines for Commissioners by providing an internal staff memo to Mr. Edward Pinto. Commissioners Georgiou, Born, and Murren also expressed concerns regarding the actions taken by Commissioner Wallison. </w:t>
      </w:r>
      <w:r>
        <w:t xml:space="preserve"> </w:t>
      </w:r>
      <w:r w:rsidRPr="00371AD1">
        <w:t>Chairman Angelides reaffirmed that Commissioners must operate by the Commission's adopted procedures for release of information and/or documents to the public.  Cohen pointed out that the Ethics Guidelines for Commissioners require that the Chair or the full Commission agree to the release of confidential information, and various Confidentiality Agreements to which the Commission is a party require that either the Chair and the Vice Chair, or the full Commission, agree to the release of such information.  No staff products or other confidential information are to be released without compliance with these procedures. Cohen also informed that Commissioners that he has reached out to Mr. Pinto who has agreed not to share this document with anyone, and that he has provided a Confidentiality Agreement to Mr. Pinto.  Commissioner Wallison announced he understood the Commission's policies and will comply in the future.</w:t>
      </w:r>
    </w:p>
    <w:p w:rsidR="00AE40C8" w:rsidRDefault="00AE40C8" w:rsidP="00A47D1E">
      <w:pPr>
        <w:pStyle w:val="ListParagraph"/>
        <w:rPr>
          <w:b/>
        </w:rPr>
      </w:pPr>
    </w:p>
    <w:p w:rsidR="00EF4C6B" w:rsidRPr="00792E49" w:rsidRDefault="00EF4C6B" w:rsidP="00EF4C6B">
      <w:pPr>
        <w:pStyle w:val="ListParagraph"/>
        <w:ind w:left="0"/>
        <w:rPr>
          <w:b/>
        </w:rPr>
      </w:pPr>
      <w:r w:rsidRPr="002C4F0E">
        <w:rPr>
          <w:b/>
          <w:u w:val="single"/>
        </w:rPr>
        <w:t xml:space="preserve">Agenda Item </w:t>
      </w:r>
      <w:r>
        <w:rPr>
          <w:b/>
          <w:u w:val="single"/>
        </w:rPr>
        <w:t xml:space="preserve">11: </w:t>
      </w:r>
      <w:r>
        <w:rPr>
          <w:b/>
          <w:color w:val="000000"/>
          <w:u w:val="single"/>
        </w:rPr>
        <w:t>Other Items of Business</w:t>
      </w:r>
    </w:p>
    <w:p w:rsidR="00EF4C6B" w:rsidRDefault="00EF4C6B" w:rsidP="00EF4C6B">
      <w:pPr>
        <w:pStyle w:val="ListParagraph"/>
        <w:ind w:left="0"/>
        <w:outlineLvl w:val="0"/>
      </w:pPr>
    </w:p>
    <w:p w:rsidR="00EF4C6B" w:rsidRDefault="00EF4C6B" w:rsidP="00EF4C6B">
      <w:pPr>
        <w:pStyle w:val="ListParagraph"/>
        <w:ind w:left="0"/>
        <w:outlineLvl w:val="0"/>
        <w:rPr>
          <w:b/>
        </w:rPr>
      </w:pPr>
      <w:r>
        <w:t>No other items of business were brought up by the Commissioners.</w:t>
      </w:r>
    </w:p>
    <w:p w:rsidR="00EF4C6B" w:rsidRDefault="00EF4C6B" w:rsidP="00EF4C6B">
      <w:pPr>
        <w:ind w:left="360"/>
        <w:rPr>
          <w:b/>
          <w:bCs/>
        </w:rPr>
      </w:pPr>
    </w:p>
    <w:p w:rsidR="00EF4C6B" w:rsidRPr="00CA165C" w:rsidRDefault="00EF4C6B" w:rsidP="00EF4C6B">
      <w:pPr>
        <w:rPr>
          <w:b/>
          <w:bCs/>
          <w:u w:val="single"/>
        </w:rPr>
      </w:pPr>
      <w:r>
        <w:rPr>
          <w:b/>
          <w:u w:val="single"/>
        </w:rPr>
        <w:t>Agenda Item 12</w:t>
      </w:r>
      <w:r w:rsidRPr="00CA165C">
        <w:rPr>
          <w:b/>
          <w:u w:val="single"/>
        </w:rPr>
        <w:t xml:space="preserve">: Adjournment                                                       </w:t>
      </w:r>
    </w:p>
    <w:p w:rsidR="00EF4C6B" w:rsidRDefault="00EF4C6B" w:rsidP="00EF4C6B">
      <w:pPr>
        <w:pStyle w:val="ListParagraph"/>
      </w:pPr>
    </w:p>
    <w:p w:rsidR="00EF4C6B" w:rsidRDefault="00EF4C6B" w:rsidP="00EF4C6B">
      <w:pPr>
        <w:outlineLvl w:val="0"/>
      </w:pPr>
      <w:r>
        <w:t>Chairman Angelides requested a motion to adjourn the meeting.</w:t>
      </w:r>
    </w:p>
    <w:p w:rsidR="00EF4C6B" w:rsidRDefault="00EF4C6B" w:rsidP="00EF4C6B">
      <w:pPr>
        <w:pStyle w:val="NoSpacing"/>
      </w:pPr>
    </w:p>
    <w:p w:rsidR="00EF4C6B" w:rsidRDefault="00EF4C6B" w:rsidP="00EF4C6B">
      <w:pPr>
        <w:pStyle w:val="NoSpacing"/>
        <w:ind w:left="2160" w:hanging="1440"/>
        <w:outlineLvl w:val="0"/>
      </w:pPr>
      <w:r>
        <w:t>MOTION:</w:t>
      </w:r>
      <w:r>
        <w:tab/>
      </w:r>
      <w:r w:rsidR="00025D54">
        <w:t>Thompson</w:t>
      </w:r>
      <w:r>
        <w:t xml:space="preserve"> moved and </w:t>
      </w:r>
      <w:r w:rsidR="00025D54">
        <w:t>Georgiou</w:t>
      </w:r>
      <w:r>
        <w:t xml:space="preserve"> seconded a motion to adjourn the meeting.</w:t>
      </w:r>
    </w:p>
    <w:p w:rsidR="00EF4C6B" w:rsidRDefault="00EF4C6B" w:rsidP="00EF4C6B">
      <w:pPr>
        <w:pStyle w:val="NoSpacing"/>
        <w:ind w:left="2160" w:hanging="2160"/>
      </w:pPr>
    </w:p>
    <w:p w:rsidR="00EF4C6B" w:rsidRDefault="00025D54" w:rsidP="00EF4C6B">
      <w:pPr>
        <w:pStyle w:val="NoSpacing"/>
        <w:ind w:left="2160" w:hanging="1440"/>
      </w:pPr>
      <w:r>
        <w:t>APPROVED:</w:t>
      </w:r>
      <w:r>
        <w:tab/>
        <w:t xml:space="preserve">10-0 </w:t>
      </w:r>
    </w:p>
    <w:p w:rsidR="00AE40C8" w:rsidRDefault="00AE40C8" w:rsidP="00AE40C8">
      <w:pPr>
        <w:pStyle w:val="ListParagraph"/>
        <w:ind w:left="0"/>
        <w:rPr>
          <w:b/>
          <w:bCs/>
        </w:rPr>
      </w:pPr>
    </w:p>
    <w:p w:rsidR="005A5DAE" w:rsidRPr="005A203E" w:rsidRDefault="005A5DAE" w:rsidP="005A5DAE">
      <w:pPr>
        <w:rPr>
          <w:b/>
          <w:bCs/>
        </w:rPr>
      </w:pPr>
    </w:p>
    <w:p w:rsidR="005128E2" w:rsidRPr="001A686C" w:rsidRDefault="005128E2" w:rsidP="005128E2">
      <w:pPr>
        <w:jc w:val="center"/>
        <w:rPr>
          <w:b/>
          <w:bCs/>
        </w:rPr>
      </w:pPr>
      <w:r>
        <w:rPr>
          <w:b/>
          <w:noProof/>
        </w:rPr>
        <w:drawing>
          <wp:inline distT="0" distB="0" distL="0" distR="0">
            <wp:extent cx="1238250" cy="130492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5128E2" w:rsidRDefault="005128E2" w:rsidP="005128E2">
      <w:pPr>
        <w:pStyle w:val="NoSpacing"/>
        <w:jc w:val="center"/>
        <w:outlineLvl w:val="0"/>
        <w:rPr>
          <w:b/>
          <w:sz w:val="28"/>
          <w:szCs w:val="28"/>
        </w:rPr>
      </w:pPr>
      <w:r>
        <w:rPr>
          <w:b/>
          <w:sz w:val="28"/>
          <w:szCs w:val="28"/>
        </w:rPr>
        <w:t>Financial Crisis Inquiry Commission</w:t>
      </w:r>
    </w:p>
    <w:p w:rsidR="005128E2" w:rsidRPr="002C4F0E" w:rsidRDefault="005128E2" w:rsidP="005128E2">
      <w:pPr>
        <w:pStyle w:val="NoSpacing"/>
        <w:jc w:val="center"/>
        <w:rPr>
          <w:b/>
        </w:rPr>
      </w:pPr>
      <w:r>
        <w:rPr>
          <w:b/>
        </w:rPr>
        <w:t>Agenda Item 3</w:t>
      </w:r>
      <w:r w:rsidRPr="002C4F0E">
        <w:rPr>
          <w:b/>
        </w:rPr>
        <w:t xml:space="preserve"> for </w:t>
      </w:r>
      <w:r>
        <w:rPr>
          <w:b/>
        </w:rPr>
        <w:t>Telephonic Business Meeting of October 12, 2010</w:t>
      </w:r>
    </w:p>
    <w:p w:rsidR="005128E2" w:rsidRPr="002C4F0E" w:rsidRDefault="005128E2" w:rsidP="005128E2">
      <w:pPr>
        <w:pStyle w:val="NoSpacing"/>
        <w:jc w:val="center"/>
        <w:rPr>
          <w:b/>
        </w:rPr>
      </w:pPr>
      <w:r w:rsidRPr="002C4F0E">
        <w:rPr>
          <w:b/>
        </w:rPr>
        <w:t xml:space="preserve">Minutes of </w:t>
      </w:r>
      <w:r>
        <w:rPr>
          <w:b/>
        </w:rPr>
        <w:t xml:space="preserve">Telephonic Business </w:t>
      </w:r>
      <w:r w:rsidRPr="002C4F0E">
        <w:rPr>
          <w:b/>
        </w:rPr>
        <w:t>Meeting</w:t>
      </w:r>
      <w:r>
        <w:rPr>
          <w:b/>
        </w:rPr>
        <w:t xml:space="preserve"> of</w:t>
      </w:r>
    </w:p>
    <w:p w:rsidR="005128E2" w:rsidRDefault="005128E2" w:rsidP="005128E2">
      <w:pPr>
        <w:pStyle w:val="NoSpacing"/>
        <w:jc w:val="center"/>
        <w:rPr>
          <w:b/>
        </w:rPr>
      </w:pPr>
      <w:r>
        <w:rPr>
          <w:b/>
        </w:rPr>
        <w:t>September 14, 2010</w:t>
      </w:r>
    </w:p>
    <w:p w:rsidR="005128E2" w:rsidRPr="00F250CA" w:rsidRDefault="005128E2" w:rsidP="005128E2">
      <w:pPr>
        <w:pStyle w:val="NoSpacing"/>
        <w:jc w:val="center"/>
        <w:rPr>
          <w:b/>
        </w:rPr>
      </w:pPr>
    </w:p>
    <w:p w:rsidR="005128E2" w:rsidRDefault="005128E2" w:rsidP="005128E2">
      <w:pPr>
        <w:pStyle w:val="NoSpacing"/>
        <w:jc w:val="center"/>
        <w:outlineLvl w:val="0"/>
        <w:rPr>
          <w:b/>
          <w:sz w:val="28"/>
          <w:szCs w:val="28"/>
        </w:rPr>
      </w:pPr>
      <w:r>
        <w:rPr>
          <w:b/>
          <w:sz w:val="28"/>
          <w:szCs w:val="28"/>
        </w:rPr>
        <w:t>ATTACHMENT</w:t>
      </w:r>
    </w:p>
    <w:p w:rsidR="0057334D" w:rsidRPr="006F2A33" w:rsidRDefault="0057334D" w:rsidP="005128E2">
      <w:pPr>
        <w:pStyle w:val="NoSpacing"/>
        <w:jc w:val="center"/>
        <w:rPr>
          <w:b/>
        </w:rPr>
      </w:pPr>
      <w:r w:rsidRPr="006F2A33">
        <w:rPr>
          <w:b/>
        </w:rPr>
        <w:t>Delegation to execute agreements and contracts</w:t>
      </w:r>
    </w:p>
    <w:p w:rsidR="0057334D" w:rsidRDefault="0057334D" w:rsidP="0057334D">
      <w:pPr>
        <w:pStyle w:val="NoSpacing"/>
        <w:jc w:val="center"/>
        <w:rPr>
          <w:b/>
          <w:sz w:val="28"/>
          <w:szCs w:val="28"/>
        </w:rPr>
      </w:pPr>
      <w:r w:rsidRPr="006F2A33">
        <w:rPr>
          <w:b/>
        </w:rPr>
        <w:t>on behalf of the Financial Crisis Inquiry Commission</w:t>
      </w:r>
    </w:p>
    <w:p w:rsidR="0057334D" w:rsidRDefault="0057334D" w:rsidP="0057334D">
      <w:pPr>
        <w:jc w:val="center"/>
      </w:pPr>
    </w:p>
    <w:p w:rsidR="0057334D" w:rsidRDefault="0057334D" w:rsidP="0057334D">
      <w:r>
        <w:t>Pursuant to the authority set forth in Public Law 110-21(d)(3)  that allows the Financial Crisis Inquiry Commission to enter into contracts to enable the Commission to conduct its business; and,</w:t>
      </w:r>
    </w:p>
    <w:p w:rsidR="0057334D" w:rsidRDefault="0057334D" w:rsidP="0057334D"/>
    <w:p w:rsidR="0057334D" w:rsidRDefault="0057334D" w:rsidP="0057334D">
      <w:r>
        <w:t xml:space="preserve">Now, pursuant to the unanimous written consent provisions of the Commission's </w:t>
      </w:r>
      <w:r>
        <w:rPr>
          <w:color w:val="1F497D"/>
        </w:rPr>
        <w:t xml:space="preserve">adopted </w:t>
      </w:r>
      <w:r>
        <w:t>procedures, it is:</w:t>
      </w:r>
    </w:p>
    <w:p w:rsidR="0057334D" w:rsidRDefault="0057334D" w:rsidP="0057334D"/>
    <w:p w:rsidR="0057334D" w:rsidRDefault="0057334D" w:rsidP="0057334D">
      <w:r>
        <w:t xml:space="preserve">Hereby delegated to the Chairman of the Commission the authority to enter into agreements on behalf of the Financial Crisis Inquiry Commission in order to facilitate the work of the Commission.  This delegation is effective until </w:t>
      </w:r>
      <w:r w:rsidR="00661BB3">
        <w:t>termination of the Commission</w:t>
      </w:r>
      <w:r>
        <w:t xml:space="preserve">, unless revoked earlier.  </w:t>
      </w:r>
    </w:p>
    <w:p w:rsidR="0057334D" w:rsidRDefault="0057334D" w:rsidP="0057334D"/>
    <w:p w:rsidR="0057334D" w:rsidRDefault="0057334D" w:rsidP="0057334D">
      <w:r>
        <w:t xml:space="preserve">The Chairman may delegate this authority to the Vice-Chairman in order to expedite the business of the Commission.  If the Chairman does delegate to the Vice-Chairman, the delegation shall remain in effect until </w:t>
      </w:r>
      <w:r w:rsidR="00661BB3">
        <w:t>termination of the Commission</w:t>
      </w:r>
      <w:r>
        <w:t>, unless revoked earlier.</w:t>
      </w:r>
    </w:p>
    <w:p w:rsidR="0057334D" w:rsidRDefault="0057334D" w:rsidP="0057334D"/>
    <w:p w:rsidR="0057334D" w:rsidRDefault="0057334D" w:rsidP="0057334D">
      <w:r>
        <w:t>In addition, any actions taken by the Chairman and the Vice-Chairman in order to establish the Commission, and agreements signed by the Chairman or the Vice-Chairman, are hereby ratified by the Commission.</w:t>
      </w:r>
    </w:p>
    <w:p w:rsidR="0057334D" w:rsidRDefault="0057334D" w:rsidP="0057334D">
      <w:pPr>
        <w:ind w:left="720"/>
      </w:pPr>
    </w:p>
    <w:p w:rsidR="005128E2" w:rsidRPr="00A079CA" w:rsidRDefault="005128E2" w:rsidP="00A079CA">
      <w:pPr>
        <w:jc w:val="center"/>
        <w:rPr>
          <w:sz w:val="16"/>
          <w:szCs w:val="20"/>
        </w:rPr>
      </w:pPr>
      <w:r>
        <w:rPr>
          <w:b/>
          <w:bCs/>
        </w:rPr>
        <w:br w:type="page"/>
      </w:r>
      <w:r>
        <w:rPr>
          <w:b/>
          <w:noProof/>
        </w:rPr>
        <w:lastRenderedPageBreak/>
        <w:drawing>
          <wp:inline distT="0" distB="0" distL="0" distR="0">
            <wp:extent cx="1238250" cy="13049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5128E2" w:rsidRDefault="005128E2" w:rsidP="005128E2">
      <w:pPr>
        <w:pStyle w:val="NoSpacing"/>
        <w:jc w:val="center"/>
        <w:outlineLvl w:val="0"/>
        <w:rPr>
          <w:b/>
          <w:sz w:val="28"/>
          <w:szCs w:val="28"/>
        </w:rPr>
      </w:pPr>
      <w:r>
        <w:rPr>
          <w:b/>
          <w:sz w:val="28"/>
          <w:szCs w:val="28"/>
        </w:rPr>
        <w:t>Financial Crisis Inquiry Commission</w:t>
      </w:r>
    </w:p>
    <w:p w:rsidR="005128E2" w:rsidRPr="002C4F0E" w:rsidRDefault="005128E2" w:rsidP="005128E2">
      <w:pPr>
        <w:pStyle w:val="NoSpacing"/>
        <w:jc w:val="center"/>
        <w:rPr>
          <w:b/>
        </w:rPr>
      </w:pPr>
      <w:r>
        <w:rPr>
          <w:b/>
        </w:rPr>
        <w:t>Agenda Item 4</w:t>
      </w:r>
      <w:r w:rsidRPr="002C4F0E">
        <w:rPr>
          <w:b/>
        </w:rPr>
        <w:t xml:space="preserve"> for </w:t>
      </w:r>
      <w:r>
        <w:rPr>
          <w:b/>
        </w:rPr>
        <w:t>Telephonic Business Meeting of October 12, 2010</w:t>
      </w:r>
    </w:p>
    <w:p w:rsidR="005128E2" w:rsidRDefault="005128E2" w:rsidP="005128E2">
      <w:pPr>
        <w:pStyle w:val="NoSpacing"/>
        <w:jc w:val="center"/>
        <w:rPr>
          <w:b/>
        </w:rPr>
      </w:pPr>
      <w:r w:rsidRPr="002C4F0E">
        <w:rPr>
          <w:b/>
        </w:rPr>
        <w:t xml:space="preserve">Minutes of </w:t>
      </w:r>
      <w:r>
        <w:rPr>
          <w:b/>
        </w:rPr>
        <w:t>Business</w:t>
      </w:r>
      <w:r w:rsidR="003C798D">
        <w:rPr>
          <w:b/>
        </w:rPr>
        <w:t>/Retreat</w:t>
      </w:r>
      <w:r>
        <w:rPr>
          <w:b/>
        </w:rPr>
        <w:t xml:space="preserve"> </w:t>
      </w:r>
      <w:r w:rsidRPr="002C4F0E">
        <w:rPr>
          <w:b/>
        </w:rPr>
        <w:t>Meeting</w:t>
      </w:r>
      <w:r>
        <w:rPr>
          <w:b/>
        </w:rPr>
        <w:t xml:space="preserve"> of</w:t>
      </w:r>
    </w:p>
    <w:p w:rsidR="00A079CA" w:rsidRPr="002C4F0E" w:rsidRDefault="00A079CA" w:rsidP="005128E2">
      <w:pPr>
        <w:pStyle w:val="NoSpacing"/>
        <w:jc w:val="center"/>
        <w:rPr>
          <w:b/>
        </w:rPr>
      </w:pPr>
      <w:r>
        <w:rPr>
          <w:b/>
        </w:rPr>
        <w:t>September 29, 2010</w:t>
      </w:r>
    </w:p>
    <w:p w:rsidR="00A079CA" w:rsidRDefault="00A079CA" w:rsidP="00A079CA">
      <w:pPr>
        <w:pStyle w:val="NoSpacing"/>
        <w:jc w:val="center"/>
        <w:rPr>
          <w:b/>
        </w:rPr>
      </w:pPr>
    </w:p>
    <w:p w:rsidR="00A079CA" w:rsidRPr="00A079CA" w:rsidRDefault="00A079CA" w:rsidP="00A079CA">
      <w:pPr>
        <w:pStyle w:val="NoSpacing"/>
        <w:rPr>
          <w:b/>
        </w:rPr>
      </w:pPr>
      <w:r w:rsidRPr="00CA64E2">
        <w:rPr>
          <w:rFonts w:eastAsia="Calibri"/>
          <w:b/>
          <w:u w:val="single"/>
        </w:rPr>
        <w:t>Agenda Item 1: Call to Order</w:t>
      </w:r>
    </w:p>
    <w:p w:rsidR="00A079CA" w:rsidRPr="00CA64E2" w:rsidRDefault="00A079CA" w:rsidP="00A079CA">
      <w:pPr>
        <w:rPr>
          <w:rFonts w:eastAsia="Calibri"/>
          <w:b/>
          <w:u w:val="single"/>
        </w:rPr>
      </w:pPr>
    </w:p>
    <w:p w:rsidR="00A079CA" w:rsidRDefault="00A079CA" w:rsidP="00A079CA">
      <w:pPr>
        <w:outlineLvl w:val="0"/>
        <w:rPr>
          <w:rFonts w:eastAsia="Calibri"/>
        </w:rPr>
      </w:pPr>
      <w:r w:rsidRPr="00CA64E2">
        <w:rPr>
          <w:rFonts w:eastAsia="Calibri"/>
        </w:rPr>
        <w:t xml:space="preserve">Chairman Angelides called the </w:t>
      </w:r>
      <w:r>
        <w:rPr>
          <w:rFonts w:eastAsia="Calibri"/>
        </w:rPr>
        <w:t>business meeting to order at 9:20am EDT.</w:t>
      </w:r>
    </w:p>
    <w:p w:rsidR="00A079CA" w:rsidRDefault="00A079CA" w:rsidP="00A079CA">
      <w:pPr>
        <w:rPr>
          <w:rFonts w:ascii="Arial" w:hAnsi="Arial" w:cs="Arial"/>
          <w:sz w:val="20"/>
          <w:szCs w:val="20"/>
        </w:rPr>
      </w:pPr>
    </w:p>
    <w:p w:rsidR="00A079CA" w:rsidRPr="002C4F0E" w:rsidRDefault="00A079CA" w:rsidP="00A079CA">
      <w:pPr>
        <w:pStyle w:val="NoSpacing"/>
        <w:outlineLvl w:val="0"/>
      </w:pPr>
      <w:r>
        <w:rPr>
          <w:b/>
          <w:u w:val="single"/>
        </w:rPr>
        <w:t xml:space="preserve">Agenda Item </w:t>
      </w:r>
      <w:r w:rsidRPr="002C4F0E">
        <w:rPr>
          <w:b/>
          <w:u w:val="single"/>
        </w:rPr>
        <w:t xml:space="preserve"> 2: Roll Call</w:t>
      </w:r>
    </w:p>
    <w:p w:rsidR="00A079CA" w:rsidRPr="002C4F0E" w:rsidRDefault="00A079CA" w:rsidP="00A079CA">
      <w:pPr>
        <w:pStyle w:val="NoSpacing"/>
      </w:pPr>
    </w:p>
    <w:p w:rsidR="00A079CA" w:rsidRDefault="00A079CA" w:rsidP="00A079CA">
      <w:pPr>
        <w:pStyle w:val="NoSpacing"/>
      </w:pPr>
      <w:r w:rsidRPr="00D51ED3">
        <w:t>Chairman Angelides asked Gretchen Newsom to call</w:t>
      </w:r>
      <w:r>
        <w:t xml:space="preserve"> the roll of the Commissioners. </w:t>
      </w:r>
      <w:r w:rsidRPr="00D51ED3">
        <w:t xml:space="preserve">Present were Phil Angelides, </w:t>
      </w:r>
      <w:r>
        <w:t xml:space="preserve">Bill Thomas, </w:t>
      </w:r>
      <w:r w:rsidRPr="00D51ED3">
        <w:t>Brooksley B</w:t>
      </w:r>
      <w:r>
        <w:t>orn, Byron Georgiou, Bob Graham, Heather Murren,</w:t>
      </w:r>
      <w:r w:rsidRPr="00D51ED3">
        <w:t xml:space="preserve"> </w:t>
      </w:r>
      <w:r>
        <w:t>John W. Thompson, and Peter Wallison.</w:t>
      </w:r>
      <w:r w:rsidRPr="00D51ED3">
        <w:t xml:space="preserve">  </w:t>
      </w:r>
      <w:r>
        <w:t>Commissioner Hennessey and Holtz-Eakin were absent.</w:t>
      </w:r>
    </w:p>
    <w:p w:rsidR="00A079CA" w:rsidRPr="002C4F0E" w:rsidRDefault="00A079CA" w:rsidP="00A079CA">
      <w:pPr>
        <w:pStyle w:val="NoSpacing"/>
      </w:pPr>
    </w:p>
    <w:p w:rsidR="00A079CA" w:rsidRDefault="00A079CA" w:rsidP="00A079CA">
      <w:pPr>
        <w:pStyle w:val="NoSpacing"/>
        <w:tabs>
          <w:tab w:val="left" w:pos="810"/>
        </w:tabs>
      </w:pPr>
      <w:r w:rsidRPr="002C4F0E">
        <w:t>Also participating in the meeting</w:t>
      </w:r>
      <w:r>
        <w:t xml:space="preserve"> were</w:t>
      </w:r>
      <w:r w:rsidRPr="002C4F0E">
        <w:t xml:space="preserve">: </w:t>
      </w:r>
      <w:r>
        <w:t>Wendy Edelberg</w:t>
      </w:r>
      <w:r w:rsidRPr="002C4F0E">
        <w:t xml:space="preserve">, Executive Director; </w:t>
      </w:r>
      <w:r>
        <w:t>Gary Cohen, General Counsel;</w:t>
      </w:r>
      <w:r w:rsidRPr="002C4F0E">
        <w:t xml:space="preserve"> Gretchen Newsom, a</w:t>
      </w:r>
      <w:r>
        <w:t xml:space="preserve">ssistant to Chairman Angelides; </w:t>
      </w:r>
      <w:r w:rsidRPr="002C4F0E">
        <w:t>Scott Ganz, as</w:t>
      </w:r>
      <w:r>
        <w:t>sistant to Vice Chairman Thomas, Rob Bachmann, assistant to Chairman Angelides, and Courtney Mayo, Assistan</w:t>
      </w:r>
      <w:r w:rsidR="006247F1">
        <w:t>t to Vice Chairman Thomas. Chris Seefer</w:t>
      </w:r>
      <w:r>
        <w:t xml:space="preserve"> joined the meeting during Agenda Item </w:t>
      </w:r>
      <w:r w:rsidR="006247F1">
        <w:t>3.</w:t>
      </w:r>
    </w:p>
    <w:p w:rsidR="00A079CA" w:rsidRPr="005A5DAE" w:rsidRDefault="00A079CA" w:rsidP="00A079CA">
      <w:pPr>
        <w:pStyle w:val="ListParagraph"/>
        <w:ind w:left="0"/>
        <w:rPr>
          <w:bCs/>
        </w:rPr>
      </w:pPr>
    </w:p>
    <w:p w:rsidR="00A079CA" w:rsidRPr="002C4F0E" w:rsidRDefault="00A079CA" w:rsidP="00A079CA">
      <w:pPr>
        <w:pStyle w:val="NoSpacing"/>
        <w:tabs>
          <w:tab w:val="left" w:pos="810"/>
        </w:tabs>
        <w:outlineLvl w:val="0"/>
      </w:pPr>
      <w:r w:rsidRPr="002C4F0E">
        <w:rPr>
          <w:b/>
          <w:u w:val="single"/>
        </w:rPr>
        <w:t xml:space="preserve">Agenda Item </w:t>
      </w:r>
      <w:r>
        <w:rPr>
          <w:b/>
          <w:u w:val="single"/>
        </w:rPr>
        <w:t>3</w:t>
      </w:r>
      <w:r w:rsidRPr="002C4F0E">
        <w:rPr>
          <w:b/>
          <w:u w:val="single"/>
        </w:rPr>
        <w:t xml:space="preserve">: </w:t>
      </w:r>
      <w:r w:rsidRPr="00A079CA">
        <w:rPr>
          <w:b/>
          <w:u w:val="single"/>
        </w:rPr>
        <w:t>Commissioner Deliberations and Vote on FCIC Memo of Referrals to the Department of Justice</w:t>
      </w:r>
    </w:p>
    <w:p w:rsidR="00A079CA" w:rsidRPr="002C4F0E" w:rsidRDefault="00A079CA" w:rsidP="00A079CA">
      <w:pPr>
        <w:pStyle w:val="NoSpacing"/>
        <w:tabs>
          <w:tab w:val="left" w:pos="810"/>
        </w:tabs>
      </w:pPr>
    </w:p>
    <w:p w:rsidR="00A079CA" w:rsidRDefault="00A079CA" w:rsidP="00A079CA">
      <w:r w:rsidRPr="002C4F0E">
        <w:t xml:space="preserve">Chairman Angelides introduced the </w:t>
      </w:r>
      <w:r w:rsidR="006247F1">
        <w:t>referral to justice memo as distributed for the previous business meeting and the supplemental memo distributed on September 28</w:t>
      </w:r>
      <w:r w:rsidR="006247F1" w:rsidRPr="006247F1">
        <w:rPr>
          <w:vertAlign w:val="superscript"/>
        </w:rPr>
        <w:t>th</w:t>
      </w:r>
      <w:r w:rsidR="006247F1">
        <w:t xml:space="preserve"> by Gary Cohen. Mr. Cohen noted that an information</w:t>
      </w:r>
      <w:r w:rsidR="00A02F27">
        <w:t>al</w:t>
      </w:r>
      <w:r w:rsidR="006247F1">
        <w:t xml:space="preserve"> call </w:t>
      </w:r>
      <w:r w:rsidR="00A02F27">
        <w:t xml:space="preserve">open to all Commissioners </w:t>
      </w:r>
      <w:r w:rsidR="006247F1">
        <w:t xml:space="preserve">occurred wherein Commissioners Wallison and Born </w:t>
      </w:r>
      <w:r w:rsidR="00A02F27">
        <w:t xml:space="preserve">participated and </w:t>
      </w:r>
      <w:r w:rsidR="006247F1">
        <w:t>asked questions pertaining to this matter of FCIC staff, including Mr. Chris Seefer.  Commissioner Wallison asked that each referral be considered individually and one at a time by the Commission.</w:t>
      </w:r>
      <w:r w:rsidR="00A02F27">
        <w:t xml:space="preserve"> </w:t>
      </w:r>
      <w:r w:rsidR="003C798D">
        <w:t xml:space="preserve">Mr. </w:t>
      </w:r>
      <w:r w:rsidR="00A02F27">
        <w:t>Cohen informed the Commission that staff may have 1-3 additional referrals and that the memo before the Commission is current and up to date.</w:t>
      </w:r>
    </w:p>
    <w:p w:rsidR="00A079CA" w:rsidRDefault="00A079CA" w:rsidP="00A079CA">
      <w:pPr>
        <w:pStyle w:val="NoSpacing"/>
        <w:tabs>
          <w:tab w:val="left" w:pos="810"/>
        </w:tabs>
      </w:pPr>
    </w:p>
    <w:p w:rsidR="003229C2" w:rsidRDefault="003229C2" w:rsidP="003229C2">
      <w:pPr>
        <w:pStyle w:val="NoSpacing"/>
        <w:tabs>
          <w:tab w:val="left" w:pos="810"/>
        </w:tabs>
        <w:ind w:left="2160" w:hanging="2160"/>
      </w:pPr>
      <w:r>
        <w:tab/>
      </w:r>
      <w:r w:rsidRPr="002C4F0E">
        <w:t>MOTION:</w:t>
      </w:r>
      <w:r>
        <w:tab/>
        <w:t xml:space="preserve">Born moved and Murren seconded the adoption of the recommendation i.e. that the Commission should find that in these matters the persons or corporations indicated may have violated the law of the United States in relation to such crisis. </w:t>
      </w:r>
    </w:p>
    <w:p w:rsidR="004031E7" w:rsidRDefault="004031E7" w:rsidP="003229C2">
      <w:pPr>
        <w:pStyle w:val="NoSpacing"/>
        <w:tabs>
          <w:tab w:val="left" w:pos="810"/>
        </w:tabs>
        <w:ind w:left="2160" w:hanging="2160"/>
      </w:pPr>
    </w:p>
    <w:p w:rsidR="004031E7" w:rsidRDefault="004031E7" w:rsidP="007C3A68">
      <w:pPr>
        <w:pStyle w:val="NoSpacing"/>
        <w:tabs>
          <w:tab w:val="left" w:pos="810"/>
        </w:tabs>
        <w:ind w:left="2880" w:hanging="2880"/>
      </w:pPr>
      <w:r>
        <w:tab/>
        <w:t>DISSCUSSION:</w:t>
      </w:r>
      <w:r>
        <w:tab/>
        <w:t>The Commission discussed the referral memo and the timing of taking action today and the timing of sending materials to the Department of Justice.</w:t>
      </w:r>
      <w:r w:rsidR="0090453B">
        <w:t xml:space="preserve"> </w:t>
      </w:r>
    </w:p>
    <w:p w:rsidR="0090453B" w:rsidRDefault="0090453B" w:rsidP="004031E7">
      <w:pPr>
        <w:pStyle w:val="NoSpacing"/>
        <w:tabs>
          <w:tab w:val="left" w:pos="810"/>
        </w:tabs>
        <w:ind w:left="2880" w:hanging="2880"/>
      </w:pPr>
    </w:p>
    <w:p w:rsidR="0090453B" w:rsidRDefault="0090453B" w:rsidP="004031E7">
      <w:pPr>
        <w:pStyle w:val="NoSpacing"/>
        <w:tabs>
          <w:tab w:val="left" w:pos="810"/>
        </w:tabs>
        <w:ind w:left="2880" w:hanging="2880"/>
      </w:pPr>
      <w:r>
        <w:tab/>
      </w:r>
      <w:r>
        <w:tab/>
        <w:t>Mr. Seefer advised the Commission of 1-3 additional referrals that may be forthcoming.</w:t>
      </w:r>
    </w:p>
    <w:p w:rsidR="007C3A68" w:rsidRDefault="007C3A68" w:rsidP="004031E7">
      <w:pPr>
        <w:pStyle w:val="NoSpacing"/>
        <w:tabs>
          <w:tab w:val="left" w:pos="810"/>
        </w:tabs>
        <w:ind w:left="2880" w:hanging="2880"/>
      </w:pPr>
    </w:p>
    <w:p w:rsidR="007C3A68" w:rsidRDefault="007C3A68" w:rsidP="00F14D24">
      <w:pPr>
        <w:pStyle w:val="NoSpacing"/>
        <w:tabs>
          <w:tab w:val="left" w:pos="810"/>
        </w:tabs>
        <w:ind w:left="2160"/>
      </w:pPr>
      <w:r>
        <w:t>The Chairman divided the motion into two motions – whether to move forward today or wait until a later time and then the consideration of each referral item individually.</w:t>
      </w:r>
    </w:p>
    <w:p w:rsidR="00A079CA" w:rsidRDefault="00A079CA" w:rsidP="00A079CA">
      <w:pPr>
        <w:pStyle w:val="NoSpacing"/>
        <w:tabs>
          <w:tab w:val="left" w:pos="810"/>
        </w:tabs>
        <w:ind w:left="2160" w:hanging="2160"/>
      </w:pPr>
    </w:p>
    <w:p w:rsidR="004031E7" w:rsidRDefault="004031E7" w:rsidP="004031E7">
      <w:pPr>
        <w:pStyle w:val="NoSpacing"/>
        <w:tabs>
          <w:tab w:val="left" w:pos="810"/>
        </w:tabs>
        <w:ind w:left="2160" w:hanging="1440"/>
      </w:pPr>
      <w:r>
        <w:tab/>
        <w:t>MOTION:</w:t>
      </w:r>
      <w:r>
        <w:tab/>
      </w:r>
      <w:r w:rsidR="00F14D24">
        <w:t>The Chairman called the vote on the</w:t>
      </w:r>
      <w:r w:rsidRPr="002C4F0E">
        <w:t xml:space="preserve"> motion to </w:t>
      </w:r>
      <w:r>
        <w:t>act in favor of moving the referral memo forward today with a ROLL CALL VOTE.</w:t>
      </w:r>
    </w:p>
    <w:p w:rsidR="004031E7" w:rsidRPr="002C4F0E" w:rsidRDefault="004031E7" w:rsidP="004031E7">
      <w:pPr>
        <w:pStyle w:val="NoSpacing"/>
        <w:tabs>
          <w:tab w:val="left" w:pos="810"/>
        </w:tabs>
        <w:ind w:left="2160" w:hanging="2160"/>
      </w:pPr>
    </w:p>
    <w:p w:rsidR="00985522" w:rsidRDefault="0090453B" w:rsidP="004031E7">
      <w:pPr>
        <w:pStyle w:val="NoSpacing"/>
        <w:tabs>
          <w:tab w:val="left" w:pos="810"/>
        </w:tabs>
        <w:ind w:left="2160" w:hanging="1440"/>
      </w:pPr>
      <w:r>
        <w:tab/>
        <w:t>APPROVED:</w:t>
      </w:r>
      <w:r>
        <w:tab/>
        <w:t xml:space="preserve"> 6-2</w:t>
      </w:r>
      <w:r w:rsidR="00985522">
        <w:t xml:space="preserve">  (ROLL CALL VOTE)</w:t>
      </w:r>
    </w:p>
    <w:p w:rsidR="00985522" w:rsidRDefault="00985522" w:rsidP="00985522">
      <w:pPr>
        <w:pStyle w:val="NoSpacing"/>
        <w:tabs>
          <w:tab w:val="left" w:pos="810"/>
        </w:tabs>
        <w:ind w:left="2160" w:hanging="1440"/>
        <w:rPr>
          <w:i/>
        </w:rPr>
      </w:pPr>
      <w:r>
        <w:tab/>
      </w:r>
      <w:r>
        <w:tab/>
        <w:t xml:space="preserve">AYE: </w:t>
      </w:r>
      <w:r w:rsidR="0071776F">
        <w:t xml:space="preserve">6 - </w:t>
      </w:r>
      <w:r>
        <w:rPr>
          <w:i/>
        </w:rPr>
        <w:t>Angelides</w:t>
      </w:r>
      <w:r w:rsidR="0090453B" w:rsidRPr="0090453B">
        <w:rPr>
          <w:i/>
        </w:rPr>
        <w:t xml:space="preserve">; </w:t>
      </w:r>
      <w:r>
        <w:rPr>
          <w:i/>
        </w:rPr>
        <w:t>Born; Georgiou; Graham</w:t>
      </w:r>
      <w:r w:rsidR="004031E7" w:rsidRPr="0090453B">
        <w:rPr>
          <w:i/>
        </w:rPr>
        <w:t xml:space="preserve">; </w:t>
      </w:r>
      <w:r>
        <w:rPr>
          <w:i/>
        </w:rPr>
        <w:t>Murren; Thompson</w:t>
      </w:r>
    </w:p>
    <w:p w:rsidR="00985522" w:rsidRDefault="00985522" w:rsidP="00985522">
      <w:pPr>
        <w:pStyle w:val="NoSpacing"/>
        <w:tabs>
          <w:tab w:val="left" w:pos="810"/>
        </w:tabs>
        <w:ind w:left="2160" w:hanging="1440"/>
        <w:rPr>
          <w:i/>
        </w:rPr>
      </w:pPr>
      <w:r>
        <w:tab/>
      </w:r>
      <w:r>
        <w:tab/>
        <w:t xml:space="preserve">NAY: </w:t>
      </w:r>
      <w:r w:rsidR="0071776F">
        <w:t xml:space="preserve">2 - </w:t>
      </w:r>
      <w:r>
        <w:rPr>
          <w:i/>
        </w:rPr>
        <w:t>Thomas; Wallison</w:t>
      </w:r>
    </w:p>
    <w:p w:rsidR="004031E7" w:rsidRPr="00985522" w:rsidRDefault="00985522" w:rsidP="00985522">
      <w:pPr>
        <w:pStyle w:val="NoSpacing"/>
        <w:tabs>
          <w:tab w:val="left" w:pos="810"/>
        </w:tabs>
        <w:ind w:left="2160" w:hanging="1440"/>
      </w:pPr>
      <w:r>
        <w:tab/>
      </w:r>
      <w:r>
        <w:tab/>
      </w:r>
      <w:r w:rsidR="0090453B" w:rsidRPr="0090453B">
        <w:rPr>
          <w:i/>
        </w:rPr>
        <w:t xml:space="preserve"> (He</w:t>
      </w:r>
      <w:r w:rsidR="0090453B">
        <w:rPr>
          <w:i/>
        </w:rPr>
        <w:t>nnessey and Holtz-Eakin absent)).</w:t>
      </w:r>
    </w:p>
    <w:p w:rsidR="004031E7" w:rsidRDefault="004031E7" w:rsidP="00A079CA">
      <w:pPr>
        <w:pStyle w:val="NoSpacing"/>
        <w:tabs>
          <w:tab w:val="left" w:pos="810"/>
        </w:tabs>
        <w:ind w:left="2160" w:hanging="2160"/>
      </w:pPr>
    </w:p>
    <w:p w:rsidR="006247F1" w:rsidRDefault="00F14D24" w:rsidP="00F14D24">
      <w:pPr>
        <w:pStyle w:val="NoSpacing"/>
        <w:ind w:left="720"/>
      </w:pPr>
      <w:r>
        <w:t xml:space="preserve">The Chairman </w:t>
      </w:r>
      <w:r w:rsidR="000E5FD4">
        <w:t xml:space="preserve">called </w:t>
      </w:r>
      <w:r>
        <w:t>for individual votes on each referral referenced in the referral</w:t>
      </w:r>
      <w:r w:rsidR="000E5FD4">
        <w:t xml:space="preserve"> memo. </w:t>
      </w:r>
    </w:p>
    <w:p w:rsidR="00F14D24" w:rsidRDefault="00F14D24" w:rsidP="00F14D24">
      <w:pPr>
        <w:pStyle w:val="NoSpacing"/>
        <w:tabs>
          <w:tab w:val="left" w:pos="810"/>
        </w:tabs>
        <w:ind w:left="2160" w:hanging="2160"/>
      </w:pPr>
    </w:p>
    <w:p w:rsidR="006247F1" w:rsidRPr="00F14D24" w:rsidRDefault="00F14D24" w:rsidP="00F14D24">
      <w:pPr>
        <w:pStyle w:val="NoSpacing"/>
        <w:tabs>
          <w:tab w:val="left" w:pos="810"/>
        </w:tabs>
        <w:ind w:left="2160" w:hanging="2160"/>
      </w:pPr>
      <w:r>
        <w:tab/>
      </w:r>
      <w:r w:rsidRPr="002C4F0E">
        <w:t>MOTION:</w:t>
      </w:r>
      <w:r>
        <w:tab/>
        <w:t xml:space="preserve">Graham moved and Born seconded </w:t>
      </w:r>
      <w:r w:rsidR="00124056">
        <w:t xml:space="preserve">the </w:t>
      </w:r>
      <w:r>
        <w:t xml:space="preserve">recommendation to </w:t>
      </w:r>
      <w:r w:rsidR="00C77231">
        <w:t>make the finding and transmit</w:t>
      </w:r>
      <w:r>
        <w:t xml:space="preserve"> Item Number 1 of the referral memo to the Department of Justice: </w:t>
      </w:r>
      <w:r w:rsidRPr="00F14D24">
        <w:t>“</w:t>
      </w:r>
      <w:r w:rsidR="006247F1" w:rsidRPr="00F14D24">
        <w:rPr>
          <w:color w:val="000000"/>
        </w:rPr>
        <w:t>Potential Fraud: False and Misleading Representations about Loan Underwriting Standards by UBS and Other Issuers</w:t>
      </w:r>
      <w:r w:rsidRPr="00F14D24">
        <w:rPr>
          <w:color w:val="000000"/>
        </w:rPr>
        <w:t>”</w:t>
      </w:r>
    </w:p>
    <w:p w:rsidR="000E5FD4" w:rsidRDefault="00F14D24" w:rsidP="00F14D24">
      <w:pPr>
        <w:spacing w:before="100" w:beforeAutospacing="1" w:after="100" w:afterAutospacing="1"/>
        <w:ind w:left="2160" w:hanging="1440"/>
        <w:outlineLvl w:val="0"/>
      </w:pPr>
      <w:r>
        <w:t>APPRO</w:t>
      </w:r>
      <w:r w:rsidR="0071776F">
        <w:t>VED:</w:t>
      </w:r>
      <w:r w:rsidR="0071776F">
        <w:tab/>
        <w:t xml:space="preserve"> 6-0-1-1  (ROLL CALL VOTE)</w:t>
      </w:r>
    </w:p>
    <w:p w:rsidR="00985522" w:rsidRDefault="00985522" w:rsidP="00985522">
      <w:pPr>
        <w:pStyle w:val="NoSpacing"/>
        <w:tabs>
          <w:tab w:val="left" w:pos="810"/>
        </w:tabs>
        <w:ind w:left="2160" w:hanging="1440"/>
        <w:rPr>
          <w:i/>
        </w:rPr>
      </w:pPr>
      <w:r>
        <w:tab/>
      </w:r>
      <w:r>
        <w:tab/>
        <w:t xml:space="preserve">AYE:  6- </w:t>
      </w:r>
      <w:r>
        <w:rPr>
          <w:i/>
        </w:rPr>
        <w:t>Angelides</w:t>
      </w:r>
      <w:r w:rsidRPr="0090453B">
        <w:rPr>
          <w:i/>
        </w:rPr>
        <w:t xml:space="preserve">; </w:t>
      </w:r>
      <w:r>
        <w:rPr>
          <w:i/>
        </w:rPr>
        <w:t>Born; Georgiou; Graham</w:t>
      </w:r>
      <w:r w:rsidRPr="0090453B">
        <w:rPr>
          <w:i/>
        </w:rPr>
        <w:t xml:space="preserve">; </w:t>
      </w:r>
      <w:r>
        <w:rPr>
          <w:i/>
        </w:rPr>
        <w:t>Murren; Wallison</w:t>
      </w:r>
    </w:p>
    <w:p w:rsidR="00985522" w:rsidRDefault="00985522" w:rsidP="00985522">
      <w:pPr>
        <w:pStyle w:val="NoSpacing"/>
        <w:tabs>
          <w:tab w:val="left" w:pos="810"/>
        </w:tabs>
        <w:ind w:left="2160" w:hanging="1440"/>
      </w:pPr>
      <w:r>
        <w:tab/>
      </w:r>
      <w:r>
        <w:tab/>
        <w:t>NAY:</w:t>
      </w:r>
      <w:r>
        <w:tab/>
        <w:t>0</w:t>
      </w:r>
    </w:p>
    <w:p w:rsidR="00985522" w:rsidRDefault="00985522" w:rsidP="00985522">
      <w:pPr>
        <w:pStyle w:val="NoSpacing"/>
        <w:tabs>
          <w:tab w:val="left" w:pos="810"/>
        </w:tabs>
        <w:ind w:left="2160" w:hanging="1440"/>
        <w:rPr>
          <w:i/>
        </w:rPr>
      </w:pPr>
      <w:r>
        <w:tab/>
      </w:r>
      <w:r>
        <w:tab/>
        <w:t>PRESENT:</w:t>
      </w:r>
      <w:r>
        <w:rPr>
          <w:i/>
        </w:rPr>
        <w:t xml:space="preserve"> </w:t>
      </w:r>
      <w:r w:rsidRPr="00985522">
        <w:t>1-</w:t>
      </w:r>
      <w:r>
        <w:rPr>
          <w:i/>
        </w:rPr>
        <w:t xml:space="preserve"> Thomas</w:t>
      </w:r>
    </w:p>
    <w:p w:rsidR="00985522" w:rsidRDefault="00985522" w:rsidP="00985522">
      <w:pPr>
        <w:pStyle w:val="NoSpacing"/>
        <w:tabs>
          <w:tab w:val="left" w:pos="810"/>
        </w:tabs>
        <w:ind w:left="2160" w:hanging="1440"/>
        <w:rPr>
          <w:i/>
        </w:rPr>
      </w:pPr>
      <w:r>
        <w:tab/>
      </w:r>
      <w:r>
        <w:tab/>
        <w:t>NOT PRESENT</w:t>
      </w:r>
      <w:r w:rsidRPr="00985522">
        <w:t>: 1-</w:t>
      </w:r>
      <w:r>
        <w:rPr>
          <w:i/>
        </w:rPr>
        <w:t xml:space="preserve"> Thompson</w:t>
      </w:r>
    </w:p>
    <w:p w:rsidR="006247F1" w:rsidRDefault="00985522" w:rsidP="00985522">
      <w:pPr>
        <w:pStyle w:val="NoSpacing"/>
        <w:tabs>
          <w:tab w:val="left" w:pos="810"/>
        </w:tabs>
        <w:ind w:left="2160" w:hanging="1440"/>
        <w:rPr>
          <w:i/>
        </w:rPr>
      </w:pPr>
      <w:r>
        <w:tab/>
      </w:r>
      <w:r>
        <w:tab/>
      </w:r>
      <w:r w:rsidR="00F14D24" w:rsidRPr="0090453B">
        <w:rPr>
          <w:i/>
        </w:rPr>
        <w:t xml:space="preserve"> </w:t>
      </w:r>
      <w:r w:rsidR="00F14D24">
        <w:rPr>
          <w:i/>
        </w:rPr>
        <w:t>(</w:t>
      </w:r>
      <w:r w:rsidR="00F14D24" w:rsidRPr="0090453B">
        <w:rPr>
          <w:i/>
        </w:rPr>
        <w:t>He</w:t>
      </w:r>
      <w:r w:rsidR="00F14D24">
        <w:rPr>
          <w:i/>
        </w:rPr>
        <w:t>nnessey and Holtz-Eakin absent)).</w:t>
      </w:r>
    </w:p>
    <w:p w:rsidR="00985522" w:rsidRPr="00985522" w:rsidRDefault="00985522" w:rsidP="00985522">
      <w:pPr>
        <w:pStyle w:val="NoSpacing"/>
        <w:tabs>
          <w:tab w:val="left" w:pos="810"/>
        </w:tabs>
        <w:ind w:left="2160" w:hanging="1440"/>
        <w:rPr>
          <w:i/>
        </w:rPr>
      </w:pPr>
    </w:p>
    <w:p w:rsidR="00F14D24" w:rsidRPr="00F14D24" w:rsidRDefault="00F14D24" w:rsidP="00F14D24">
      <w:pPr>
        <w:pStyle w:val="NoSpacing"/>
        <w:ind w:left="2160" w:hanging="1440"/>
        <w:rPr>
          <w:b/>
          <w:color w:val="000000"/>
          <w:u w:val="single"/>
        </w:rPr>
      </w:pPr>
      <w:r w:rsidRPr="002C4F0E">
        <w:t>MOTION:</w:t>
      </w:r>
      <w:r>
        <w:tab/>
        <w:t xml:space="preserve">Graham moved and Murren seconded </w:t>
      </w:r>
      <w:r w:rsidR="00124056">
        <w:t xml:space="preserve">the </w:t>
      </w:r>
      <w:r>
        <w:t xml:space="preserve">recommendation </w:t>
      </w:r>
      <w:r w:rsidR="00C77231">
        <w:t xml:space="preserve">to make the finding and transmit </w:t>
      </w:r>
      <w:r>
        <w:t xml:space="preserve">Item Number 2 of the referral memo to the Department of Justice: </w:t>
      </w:r>
      <w:r w:rsidRPr="00F14D24">
        <w:t>“</w:t>
      </w:r>
      <w:r w:rsidR="006247F1" w:rsidRPr="00F14D24">
        <w:rPr>
          <w:color w:val="000000"/>
        </w:rPr>
        <w:t>Potential Accounting Fraud and False Certifications: Fannie Mae</w:t>
      </w:r>
      <w:r w:rsidRPr="00F14D24">
        <w:rPr>
          <w:color w:val="000000"/>
        </w:rPr>
        <w:t>”</w:t>
      </w:r>
    </w:p>
    <w:p w:rsidR="00F14D24" w:rsidRDefault="00F14D24" w:rsidP="00F14D24">
      <w:pPr>
        <w:spacing w:before="100" w:beforeAutospacing="1" w:after="100" w:afterAutospacing="1"/>
        <w:ind w:left="2160" w:hanging="1440"/>
        <w:outlineLvl w:val="0"/>
        <w:rPr>
          <w:i/>
        </w:rPr>
      </w:pPr>
      <w:r>
        <w:t>APPROVED:</w:t>
      </w:r>
      <w:r>
        <w:tab/>
        <w:t xml:space="preserve"> 6-0</w:t>
      </w:r>
      <w:r w:rsidR="000E5FD4">
        <w:t>-</w:t>
      </w:r>
      <w:r w:rsidR="00FF2D71">
        <w:t>2</w:t>
      </w:r>
      <w:r w:rsidR="00985522">
        <w:t xml:space="preserve">  (ROLL CALL VOTE)</w:t>
      </w:r>
    </w:p>
    <w:p w:rsidR="00985522" w:rsidRDefault="00985522" w:rsidP="00985522">
      <w:pPr>
        <w:pStyle w:val="NoSpacing"/>
        <w:tabs>
          <w:tab w:val="left" w:pos="810"/>
        </w:tabs>
        <w:ind w:left="2160" w:hanging="1440"/>
        <w:rPr>
          <w:i/>
        </w:rPr>
      </w:pPr>
      <w:r>
        <w:tab/>
      </w:r>
      <w:r>
        <w:tab/>
        <w:t xml:space="preserve">AYE: 6 - </w:t>
      </w:r>
      <w:r>
        <w:rPr>
          <w:i/>
        </w:rPr>
        <w:t>Angelides</w:t>
      </w:r>
      <w:r w:rsidRPr="0090453B">
        <w:rPr>
          <w:i/>
        </w:rPr>
        <w:t xml:space="preserve">; </w:t>
      </w:r>
      <w:r>
        <w:rPr>
          <w:i/>
        </w:rPr>
        <w:t>Born; Georgiou; Graham</w:t>
      </w:r>
      <w:r w:rsidRPr="0090453B">
        <w:rPr>
          <w:i/>
        </w:rPr>
        <w:t xml:space="preserve">; </w:t>
      </w:r>
      <w:r>
        <w:rPr>
          <w:i/>
        </w:rPr>
        <w:t>Murren; Wallison</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tab/>
      </w:r>
      <w:r>
        <w:tab/>
      </w:r>
      <w:r w:rsidRPr="0090453B">
        <w:rPr>
          <w:i/>
        </w:rPr>
        <w:t xml:space="preserve"> </w:t>
      </w:r>
      <w:r>
        <w:rPr>
          <w:i/>
        </w:rPr>
        <w:t>(</w:t>
      </w:r>
      <w:r w:rsidRPr="0090453B">
        <w:rPr>
          <w:i/>
        </w:rPr>
        <w:t>He</w:t>
      </w:r>
      <w:r>
        <w:rPr>
          <w:i/>
        </w:rPr>
        <w:t>nnessey and Holtz-Eakin absent)).</w:t>
      </w:r>
    </w:p>
    <w:p w:rsidR="00985522" w:rsidRPr="00F14D24" w:rsidRDefault="00985522" w:rsidP="00F14D24">
      <w:pPr>
        <w:spacing w:before="100" w:beforeAutospacing="1" w:after="100" w:afterAutospacing="1"/>
        <w:ind w:left="2160" w:hanging="1440"/>
        <w:outlineLvl w:val="0"/>
        <w:rPr>
          <w:b/>
          <w:color w:val="000000"/>
        </w:rPr>
      </w:pPr>
    </w:p>
    <w:p w:rsidR="006247F1" w:rsidRPr="00096B7C" w:rsidRDefault="00124056" w:rsidP="00096B7C">
      <w:pPr>
        <w:pStyle w:val="NoSpacing"/>
        <w:ind w:left="2160" w:hanging="1440"/>
        <w:rPr>
          <w:color w:val="000000"/>
        </w:rPr>
      </w:pPr>
      <w:r w:rsidRPr="002C4F0E">
        <w:t>MOTION:</w:t>
      </w:r>
      <w:r>
        <w:tab/>
        <w:t xml:space="preserve">Born moved and Graham seconded the recommendation to </w:t>
      </w:r>
      <w:r w:rsidR="00C77231">
        <w:t>make the finding and transmit</w:t>
      </w:r>
      <w:r>
        <w:t xml:space="preserve"> Item Number 3 of the referral memo to the </w:t>
      </w:r>
      <w:r>
        <w:lastRenderedPageBreak/>
        <w:t xml:space="preserve">Department of Justice: </w:t>
      </w:r>
      <w:r w:rsidRPr="00124056">
        <w:t>“</w:t>
      </w:r>
      <w:r w:rsidR="006247F1" w:rsidRPr="00124056">
        <w:rPr>
          <w:color w:val="000000"/>
        </w:rPr>
        <w:t>Moody’s Appears to Have Made Selective Disclosures of Imminent Ratings Downgrades; UBS and Possibly Other Recipients of this Information Fail to Disclose Upcoming Downgrades to Purchasers of Their Securities</w:t>
      </w:r>
      <w:r w:rsidRPr="00124056">
        <w:rPr>
          <w:color w:val="000000"/>
        </w:rPr>
        <w:t>”</w:t>
      </w:r>
      <w:r w:rsidR="006247F1" w:rsidRPr="00124056">
        <w:rPr>
          <w:color w:val="000000"/>
        </w:rPr>
        <w:t xml:space="preserve"> </w:t>
      </w:r>
    </w:p>
    <w:p w:rsidR="00C77231" w:rsidRDefault="00124056" w:rsidP="000E5FD4">
      <w:pPr>
        <w:spacing w:before="100" w:beforeAutospacing="1" w:after="100" w:afterAutospacing="1"/>
        <w:ind w:left="2160" w:hanging="1440"/>
        <w:outlineLvl w:val="0"/>
        <w:rPr>
          <w:i/>
        </w:rPr>
      </w:pPr>
      <w:r>
        <w:t>APPROVED:</w:t>
      </w:r>
      <w:r>
        <w:tab/>
        <w:t xml:space="preserve"> </w:t>
      </w:r>
      <w:r w:rsidR="004B4073">
        <w:t>5</w:t>
      </w:r>
      <w:r>
        <w:t>-1-</w:t>
      </w:r>
      <w:r w:rsidR="004B4073">
        <w:t>2</w:t>
      </w:r>
      <w:r w:rsidR="00985522">
        <w:t xml:space="preserve">  (ROLL CALL VOTE)</w:t>
      </w:r>
    </w:p>
    <w:p w:rsidR="00985522" w:rsidRDefault="00985522" w:rsidP="00985522">
      <w:pPr>
        <w:pStyle w:val="NoSpacing"/>
        <w:tabs>
          <w:tab w:val="left" w:pos="810"/>
        </w:tabs>
        <w:ind w:left="2160" w:hanging="1440"/>
        <w:rPr>
          <w:i/>
        </w:rPr>
      </w:pPr>
      <w:r>
        <w:tab/>
      </w:r>
      <w:r>
        <w:tab/>
        <w:t xml:space="preserve">AYE: 5- </w:t>
      </w:r>
      <w:r>
        <w:rPr>
          <w:i/>
        </w:rPr>
        <w:t>Angelides</w:t>
      </w:r>
      <w:r w:rsidRPr="0090453B">
        <w:rPr>
          <w:i/>
        </w:rPr>
        <w:t xml:space="preserve">; </w:t>
      </w:r>
      <w:r>
        <w:rPr>
          <w:i/>
        </w:rPr>
        <w:t>Born; Georgiou; Graham</w:t>
      </w:r>
      <w:r w:rsidRPr="0090453B">
        <w:rPr>
          <w:i/>
        </w:rPr>
        <w:t xml:space="preserve">; </w:t>
      </w:r>
      <w:r>
        <w:rPr>
          <w:i/>
        </w:rPr>
        <w:t>Murren;</w:t>
      </w:r>
    </w:p>
    <w:p w:rsidR="00985522" w:rsidRDefault="00985522" w:rsidP="00985522">
      <w:pPr>
        <w:pStyle w:val="NoSpacing"/>
        <w:tabs>
          <w:tab w:val="left" w:pos="810"/>
        </w:tabs>
        <w:ind w:left="2160" w:hanging="1440"/>
        <w:rPr>
          <w:i/>
        </w:rPr>
      </w:pPr>
      <w:r>
        <w:tab/>
      </w:r>
      <w:r>
        <w:tab/>
        <w:t xml:space="preserve">NAY: </w:t>
      </w:r>
      <w:r>
        <w:rPr>
          <w:i/>
        </w:rPr>
        <w:t>1- Wallison</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tab/>
      </w:r>
      <w:r>
        <w:tab/>
      </w:r>
      <w:r w:rsidRPr="0090453B">
        <w:rPr>
          <w:i/>
        </w:rPr>
        <w:t xml:space="preserve"> </w:t>
      </w:r>
      <w:r>
        <w:rPr>
          <w:i/>
        </w:rPr>
        <w:t>(</w:t>
      </w:r>
      <w:r w:rsidRPr="0090453B">
        <w:rPr>
          <w:i/>
        </w:rPr>
        <w:t>He</w:t>
      </w:r>
      <w:r>
        <w:rPr>
          <w:i/>
        </w:rPr>
        <w:t>nnessey and Holtz-Eakin absent)).</w:t>
      </w:r>
    </w:p>
    <w:p w:rsidR="00985522" w:rsidRPr="00985522" w:rsidRDefault="00985522" w:rsidP="00985522">
      <w:pPr>
        <w:pStyle w:val="NoSpacing"/>
        <w:tabs>
          <w:tab w:val="left" w:pos="810"/>
        </w:tabs>
        <w:ind w:left="2160" w:hanging="1440"/>
        <w:rPr>
          <w:i/>
        </w:rPr>
      </w:pPr>
    </w:p>
    <w:p w:rsidR="00322423" w:rsidRPr="00322423" w:rsidRDefault="00C77231" w:rsidP="00322423">
      <w:pPr>
        <w:pStyle w:val="NoSpacing"/>
        <w:ind w:left="2160" w:hanging="1440"/>
        <w:rPr>
          <w:color w:val="000000"/>
        </w:rPr>
      </w:pPr>
      <w:r w:rsidRPr="002C4F0E">
        <w:t>MOTION:</w:t>
      </w:r>
      <w:r>
        <w:tab/>
      </w:r>
      <w:r w:rsidR="00FD19B7">
        <w:t xml:space="preserve">Born moved and Graham seconded </w:t>
      </w:r>
      <w:r w:rsidR="00322423">
        <w:rPr>
          <w:color w:val="000000"/>
        </w:rPr>
        <w:t>t</w:t>
      </w:r>
      <w:r w:rsidR="00322423" w:rsidRPr="00322423">
        <w:rPr>
          <w:color w:val="000000"/>
        </w:rPr>
        <w:t xml:space="preserve">he motion that the Commission finds </w:t>
      </w:r>
      <w:r w:rsidR="00322423">
        <w:rPr>
          <w:color w:val="000000"/>
        </w:rPr>
        <w:t xml:space="preserve">that </w:t>
      </w:r>
      <w:r w:rsidR="00322423" w:rsidRPr="00322423">
        <w:rPr>
          <w:color w:val="000000"/>
        </w:rPr>
        <w:t xml:space="preserve">the persons described in </w:t>
      </w:r>
      <w:r w:rsidR="0071776F">
        <w:rPr>
          <w:color w:val="000000"/>
        </w:rPr>
        <w:t>Item</w:t>
      </w:r>
      <w:r w:rsidR="00322423" w:rsidRPr="00322423">
        <w:rPr>
          <w:color w:val="000000"/>
        </w:rPr>
        <w:t xml:space="preserve"> 4 may have violated the laws of the United States in relation to the financial crisis and that the Commission refer this to the Attorney General of the United States</w:t>
      </w:r>
      <w:r w:rsidR="00322423">
        <w:rPr>
          <w:b/>
          <w:color w:val="000000"/>
        </w:rPr>
        <w:t xml:space="preserve">: </w:t>
      </w:r>
      <w:r w:rsidR="00322423" w:rsidRPr="00FD19B7">
        <w:t>“</w:t>
      </w:r>
      <w:r w:rsidR="00322423" w:rsidRPr="00FD19B7">
        <w:rPr>
          <w:color w:val="000000"/>
        </w:rPr>
        <w:t>Potential Fraud and False Certifications: Citigroup”</w:t>
      </w:r>
      <w:r w:rsidR="00322423">
        <w:rPr>
          <w:color w:val="000000"/>
        </w:rPr>
        <w:t>.</w:t>
      </w:r>
    </w:p>
    <w:p w:rsidR="006247F1" w:rsidRDefault="00C77231" w:rsidP="00322423">
      <w:pPr>
        <w:spacing w:before="100" w:beforeAutospacing="1" w:after="100" w:afterAutospacing="1"/>
        <w:ind w:left="2160" w:hanging="1440"/>
        <w:outlineLvl w:val="0"/>
        <w:rPr>
          <w:i/>
        </w:rPr>
      </w:pPr>
      <w:r>
        <w:t>APPROVED:</w:t>
      </w:r>
      <w:r>
        <w:tab/>
        <w:t xml:space="preserve"> </w:t>
      </w:r>
      <w:r w:rsidR="00322423">
        <w:t>6</w:t>
      </w:r>
      <w:r>
        <w:t>-</w:t>
      </w:r>
      <w:r w:rsidR="00322423">
        <w:t>0</w:t>
      </w:r>
      <w:r w:rsidR="00985522">
        <w:t>-2  (ROLL CALL VOTE)</w:t>
      </w:r>
    </w:p>
    <w:p w:rsidR="00985522" w:rsidRDefault="00985522" w:rsidP="00985522">
      <w:pPr>
        <w:pStyle w:val="NoSpacing"/>
        <w:tabs>
          <w:tab w:val="left" w:pos="810"/>
        </w:tabs>
        <w:ind w:left="2160" w:hanging="1440"/>
        <w:rPr>
          <w:i/>
        </w:rPr>
      </w:pPr>
      <w:r>
        <w:tab/>
      </w:r>
      <w:r>
        <w:tab/>
        <w:t xml:space="preserve">AYE: 6- </w:t>
      </w:r>
      <w:r>
        <w:rPr>
          <w:i/>
        </w:rPr>
        <w:t>Angelides</w:t>
      </w:r>
      <w:r w:rsidRPr="0090453B">
        <w:rPr>
          <w:i/>
        </w:rPr>
        <w:t xml:space="preserve">; </w:t>
      </w:r>
      <w:r>
        <w:rPr>
          <w:i/>
        </w:rPr>
        <w:t>Born; Georgiou; Graham</w:t>
      </w:r>
      <w:r w:rsidRPr="0090453B">
        <w:rPr>
          <w:i/>
        </w:rPr>
        <w:t xml:space="preserve">; </w:t>
      </w:r>
      <w:r>
        <w:rPr>
          <w:i/>
        </w:rPr>
        <w:t>Murren; Wallison</w:t>
      </w:r>
    </w:p>
    <w:p w:rsidR="00985522" w:rsidRDefault="00985522" w:rsidP="00985522">
      <w:pPr>
        <w:pStyle w:val="NoSpacing"/>
        <w:tabs>
          <w:tab w:val="left" w:pos="810"/>
        </w:tabs>
        <w:ind w:left="2160" w:hanging="1440"/>
        <w:rPr>
          <w:i/>
        </w:rPr>
      </w:pPr>
      <w:r>
        <w:tab/>
      </w:r>
      <w:r>
        <w:tab/>
        <w:t xml:space="preserve">NAY: </w:t>
      </w:r>
      <w:r>
        <w:rPr>
          <w:i/>
        </w:rPr>
        <w:t>0</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tab/>
      </w:r>
      <w:r>
        <w:tab/>
      </w:r>
      <w:r w:rsidRPr="0090453B">
        <w:rPr>
          <w:i/>
        </w:rPr>
        <w:t xml:space="preserve"> </w:t>
      </w:r>
      <w:r>
        <w:rPr>
          <w:i/>
        </w:rPr>
        <w:t>(</w:t>
      </w:r>
      <w:r w:rsidRPr="0090453B">
        <w:rPr>
          <w:i/>
        </w:rPr>
        <w:t>He</w:t>
      </w:r>
      <w:r>
        <w:rPr>
          <w:i/>
        </w:rPr>
        <w:t>nnessey and Holtz-Eakin absent)).</w:t>
      </w:r>
    </w:p>
    <w:p w:rsidR="006247F1" w:rsidRDefault="00322423" w:rsidP="00322423">
      <w:pPr>
        <w:spacing w:before="100" w:beforeAutospacing="1" w:after="100" w:afterAutospacing="1"/>
        <w:ind w:left="2160" w:hanging="1440"/>
        <w:outlineLvl w:val="0"/>
        <w:rPr>
          <w:b/>
          <w:color w:val="000000"/>
          <w:u w:val="single"/>
        </w:rPr>
      </w:pPr>
      <w:r w:rsidRPr="002C4F0E">
        <w:t>MOTION:</w:t>
      </w:r>
      <w:r>
        <w:tab/>
        <w:t xml:space="preserve">Georgiou moved and </w:t>
      </w:r>
      <w:r w:rsidR="004F71CF">
        <w:t>Born</w:t>
      </w:r>
      <w:r>
        <w:t xml:space="preserve"> seconded </w:t>
      </w:r>
      <w:r>
        <w:rPr>
          <w:color w:val="000000"/>
        </w:rPr>
        <w:t>t</w:t>
      </w:r>
      <w:r w:rsidRPr="00322423">
        <w:rPr>
          <w:color w:val="000000"/>
        </w:rPr>
        <w:t xml:space="preserve">he motion that the Commission </w:t>
      </w:r>
      <w:r w:rsidR="000E5FD4">
        <w:rPr>
          <w:color w:val="000000"/>
        </w:rPr>
        <w:t xml:space="preserve">continue </w:t>
      </w:r>
      <w:r w:rsidR="0071776F">
        <w:rPr>
          <w:color w:val="000000"/>
        </w:rPr>
        <w:t>Item</w:t>
      </w:r>
      <w:r>
        <w:rPr>
          <w:color w:val="000000"/>
        </w:rPr>
        <w:t xml:space="preserve"> 5</w:t>
      </w:r>
      <w:r w:rsidRPr="00322423">
        <w:rPr>
          <w:color w:val="000000"/>
        </w:rPr>
        <w:t xml:space="preserve"> </w:t>
      </w:r>
      <w:r w:rsidR="004F71CF">
        <w:rPr>
          <w:color w:val="000000"/>
        </w:rPr>
        <w:t xml:space="preserve">of the referral memo </w:t>
      </w:r>
      <w:r w:rsidR="000E5FD4">
        <w:rPr>
          <w:color w:val="000000"/>
        </w:rPr>
        <w:t>until the following meeting or when the Commission considers future referral items</w:t>
      </w:r>
      <w:r w:rsidR="004F71CF">
        <w:rPr>
          <w:color w:val="000000"/>
        </w:rPr>
        <w:t>:</w:t>
      </w:r>
      <w:r w:rsidR="009E6C87">
        <w:rPr>
          <w:color w:val="000000"/>
        </w:rPr>
        <w:t xml:space="preserve"> </w:t>
      </w:r>
      <w:r w:rsidRPr="00FD19B7">
        <w:t>“</w:t>
      </w:r>
      <w:r w:rsidRPr="00322423">
        <w:rPr>
          <w:color w:val="000000"/>
        </w:rPr>
        <w:t>Potential Fraud by Goldman Sachs in Connection with Collateral Calls on AIG</w:t>
      </w:r>
      <w:r>
        <w:rPr>
          <w:color w:val="000000"/>
        </w:rPr>
        <w:t>”.</w:t>
      </w:r>
    </w:p>
    <w:p w:rsidR="00985522" w:rsidRDefault="00AB5D0B" w:rsidP="00985522">
      <w:pPr>
        <w:spacing w:before="100" w:beforeAutospacing="1" w:after="100" w:afterAutospacing="1"/>
        <w:ind w:left="2160" w:hanging="1440"/>
        <w:outlineLvl w:val="0"/>
        <w:rPr>
          <w:i/>
        </w:rPr>
      </w:pPr>
      <w:r>
        <w:t>APPROVED:</w:t>
      </w:r>
      <w:r>
        <w:tab/>
        <w:t xml:space="preserve"> 6-0-</w:t>
      </w:r>
      <w:r w:rsidR="004F71CF">
        <w:t xml:space="preserve">2  (Voice vote. </w:t>
      </w:r>
      <w:r w:rsidR="0071776F">
        <w:t xml:space="preserve">Note Present: </w:t>
      </w:r>
      <w:r w:rsidR="00985522">
        <w:rPr>
          <w:i/>
        </w:rPr>
        <w:t xml:space="preserve">Thomas and </w:t>
      </w:r>
      <w:r w:rsidR="0071776F">
        <w:rPr>
          <w:i/>
        </w:rPr>
        <w:t xml:space="preserve">Thompson. </w:t>
      </w:r>
      <w:r w:rsidR="004F71CF">
        <w:rPr>
          <w:i/>
        </w:rPr>
        <w:t>(</w:t>
      </w:r>
      <w:r w:rsidR="004F71CF" w:rsidRPr="0090453B">
        <w:rPr>
          <w:i/>
        </w:rPr>
        <w:t>He</w:t>
      </w:r>
      <w:r w:rsidR="004F71CF">
        <w:rPr>
          <w:i/>
        </w:rPr>
        <w:t>nnessey and Holtz-Eakin absent)).</w:t>
      </w:r>
    </w:p>
    <w:p w:rsidR="004F71CF" w:rsidRPr="00322423" w:rsidRDefault="004F71CF" w:rsidP="004F71CF">
      <w:pPr>
        <w:pStyle w:val="NoSpacing"/>
        <w:ind w:left="2160" w:hanging="1440"/>
        <w:rPr>
          <w:color w:val="000000"/>
        </w:rPr>
      </w:pPr>
      <w:r w:rsidRPr="002C4F0E">
        <w:t>MOTION:</w:t>
      </w:r>
      <w:r>
        <w:tab/>
        <w:t xml:space="preserve">Born moved and Murren seconded </w:t>
      </w:r>
      <w:r>
        <w:rPr>
          <w:color w:val="000000"/>
        </w:rPr>
        <w:t>t</w:t>
      </w:r>
      <w:r w:rsidRPr="00322423">
        <w:rPr>
          <w:color w:val="000000"/>
        </w:rPr>
        <w:t xml:space="preserve">he motion that the Commission finds </w:t>
      </w:r>
      <w:r>
        <w:rPr>
          <w:color w:val="000000"/>
        </w:rPr>
        <w:t xml:space="preserve">that </w:t>
      </w:r>
      <w:r w:rsidRPr="00322423">
        <w:rPr>
          <w:color w:val="000000"/>
        </w:rPr>
        <w:t xml:space="preserve">the persons described in </w:t>
      </w:r>
      <w:r w:rsidR="000E5FD4">
        <w:rPr>
          <w:color w:val="000000"/>
        </w:rPr>
        <w:t>item</w:t>
      </w:r>
      <w:r>
        <w:rPr>
          <w:color w:val="000000"/>
        </w:rPr>
        <w:t xml:space="preserve"> 6</w:t>
      </w:r>
      <w:r w:rsidRPr="00322423">
        <w:rPr>
          <w:color w:val="000000"/>
        </w:rPr>
        <w:t xml:space="preserve"> may have violated the laws of the United States in relation to the financial crisis and that the Commission refer this to the Attorney General of the United States</w:t>
      </w:r>
      <w:r>
        <w:rPr>
          <w:b/>
          <w:color w:val="000000"/>
        </w:rPr>
        <w:t xml:space="preserve">: </w:t>
      </w:r>
      <w:r w:rsidRPr="00FD19B7">
        <w:t>“</w:t>
      </w:r>
      <w:r w:rsidRPr="00FD19B7">
        <w:rPr>
          <w:color w:val="000000"/>
        </w:rPr>
        <w:t xml:space="preserve">Potential Fraud </w:t>
      </w:r>
      <w:r>
        <w:rPr>
          <w:color w:val="000000"/>
        </w:rPr>
        <w:t>in AIG Investor Calls</w:t>
      </w:r>
      <w:r w:rsidRPr="00FD19B7">
        <w:rPr>
          <w:color w:val="000000"/>
        </w:rPr>
        <w:t>”</w:t>
      </w:r>
      <w:r>
        <w:rPr>
          <w:color w:val="000000"/>
        </w:rPr>
        <w:t>.</w:t>
      </w:r>
    </w:p>
    <w:p w:rsidR="004F71CF" w:rsidRDefault="004F71CF" w:rsidP="004F71CF">
      <w:pPr>
        <w:spacing w:before="100" w:beforeAutospacing="1" w:after="100" w:afterAutospacing="1"/>
        <w:ind w:left="2160" w:hanging="1440"/>
        <w:outlineLvl w:val="0"/>
        <w:rPr>
          <w:i/>
        </w:rPr>
      </w:pPr>
      <w:r>
        <w:t>APPRO</w:t>
      </w:r>
      <w:r w:rsidR="0071776F">
        <w:t>VED:</w:t>
      </w:r>
      <w:r w:rsidR="0071776F">
        <w:tab/>
        <w:t xml:space="preserve"> 6-0-</w:t>
      </w:r>
      <w:r w:rsidR="00985522">
        <w:t>2  (ROLL CALL VOTE)</w:t>
      </w:r>
    </w:p>
    <w:p w:rsidR="00985522" w:rsidRDefault="00985522" w:rsidP="00985522">
      <w:pPr>
        <w:pStyle w:val="NoSpacing"/>
        <w:tabs>
          <w:tab w:val="left" w:pos="810"/>
        </w:tabs>
        <w:ind w:left="2160" w:hanging="1440"/>
        <w:rPr>
          <w:i/>
        </w:rPr>
      </w:pPr>
      <w:r>
        <w:tab/>
      </w:r>
      <w:r>
        <w:tab/>
        <w:t xml:space="preserve">AYE: 6- </w:t>
      </w:r>
      <w:r>
        <w:rPr>
          <w:i/>
        </w:rPr>
        <w:t>Angelides</w:t>
      </w:r>
      <w:r w:rsidRPr="0090453B">
        <w:rPr>
          <w:i/>
        </w:rPr>
        <w:t xml:space="preserve">; </w:t>
      </w:r>
      <w:r>
        <w:rPr>
          <w:i/>
        </w:rPr>
        <w:t>Born; Georgiou; Graham</w:t>
      </w:r>
      <w:r w:rsidRPr="0090453B">
        <w:rPr>
          <w:i/>
        </w:rPr>
        <w:t xml:space="preserve">; </w:t>
      </w:r>
      <w:r>
        <w:rPr>
          <w:i/>
        </w:rPr>
        <w:t>Murren; Wallison</w:t>
      </w:r>
    </w:p>
    <w:p w:rsidR="00985522" w:rsidRDefault="00985522" w:rsidP="00985522">
      <w:pPr>
        <w:pStyle w:val="NoSpacing"/>
        <w:tabs>
          <w:tab w:val="left" w:pos="810"/>
        </w:tabs>
        <w:ind w:left="2160" w:hanging="1440"/>
        <w:rPr>
          <w:i/>
        </w:rPr>
      </w:pPr>
      <w:r>
        <w:tab/>
      </w:r>
      <w:r>
        <w:tab/>
        <w:t xml:space="preserve">NAY: </w:t>
      </w:r>
      <w:r>
        <w:rPr>
          <w:i/>
        </w:rPr>
        <w:t>0</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tab/>
      </w:r>
      <w:r>
        <w:tab/>
      </w:r>
      <w:r w:rsidRPr="0090453B">
        <w:rPr>
          <w:i/>
        </w:rPr>
        <w:t xml:space="preserve"> </w:t>
      </w:r>
      <w:r>
        <w:rPr>
          <w:i/>
        </w:rPr>
        <w:t>(</w:t>
      </w:r>
      <w:r w:rsidRPr="0090453B">
        <w:rPr>
          <w:i/>
        </w:rPr>
        <w:t>He</w:t>
      </w:r>
      <w:r>
        <w:rPr>
          <w:i/>
        </w:rPr>
        <w:t>nnessey and Holtz-Eakin absent)).</w:t>
      </w:r>
    </w:p>
    <w:p w:rsidR="00985522" w:rsidRDefault="00985522" w:rsidP="004F71CF">
      <w:pPr>
        <w:spacing w:before="100" w:beforeAutospacing="1" w:after="100" w:afterAutospacing="1"/>
        <w:ind w:left="2160" w:hanging="1440"/>
        <w:outlineLvl w:val="0"/>
        <w:rPr>
          <w:i/>
        </w:rPr>
      </w:pPr>
    </w:p>
    <w:p w:rsidR="004F71CF" w:rsidRPr="00D00FF1" w:rsidRDefault="004F71CF" w:rsidP="004F71CF">
      <w:pPr>
        <w:spacing w:before="100" w:beforeAutospacing="1" w:after="100" w:afterAutospacing="1"/>
        <w:ind w:left="2160" w:hanging="1440"/>
        <w:outlineLvl w:val="0"/>
        <w:rPr>
          <w:b/>
          <w:color w:val="000000"/>
          <w:u w:val="single"/>
        </w:rPr>
      </w:pPr>
      <w:r w:rsidRPr="002C4F0E">
        <w:lastRenderedPageBreak/>
        <w:t>MOTION:</w:t>
      </w:r>
      <w:r>
        <w:tab/>
        <w:t xml:space="preserve">Murren moved and Born seconded </w:t>
      </w:r>
      <w:r>
        <w:rPr>
          <w:color w:val="000000"/>
        </w:rPr>
        <w:t>t</w:t>
      </w:r>
      <w:r w:rsidRPr="00322423">
        <w:rPr>
          <w:color w:val="000000"/>
        </w:rPr>
        <w:t xml:space="preserve">he motion that the Commission finds </w:t>
      </w:r>
      <w:r>
        <w:rPr>
          <w:color w:val="000000"/>
        </w:rPr>
        <w:t xml:space="preserve">that </w:t>
      </w:r>
      <w:r w:rsidRPr="00322423">
        <w:rPr>
          <w:color w:val="000000"/>
        </w:rPr>
        <w:t xml:space="preserve">the persons described in </w:t>
      </w:r>
      <w:r w:rsidR="000E5FD4">
        <w:rPr>
          <w:color w:val="000000"/>
        </w:rPr>
        <w:t>item</w:t>
      </w:r>
      <w:r>
        <w:rPr>
          <w:color w:val="000000"/>
        </w:rPr>
        <w:t xml:space="preserve"> 7</w:t>
      </w:r>
      <w:r w:rsidRPr="00322423">
        <w:rPr>
          <w:color w:val="000000"/>
        </w:rPr>
        <w:t xml:space="preserve"> may have violated the laws of the United States in relation to the financial crisis and that the Commission refer this to the Attorney General of the United States</w:t>
      </w:r>
      <w:r>
        <w:rPr>
          <w:b/>
          <w:color w:val="000000"/>
        </w:rPr>
        <w:t>:</w:t>
      </w:r>
      <w:r w:rsidRPr="004F71CF">
        <w:rPr>
          <w:color w:val="000000"/>
        </w:rPr>
        <w:t xml:space="preserve"> </w:t>
      </w:r>
      <w:r w:rsidRPr="004F71CF">
        <w:t>“</w:t>
      </w:r>
      <w:r w:rsidRPr="004F71CF">
        <w:rPr>
          <w:color w:val="000000"/>
        </w:rPr>
        <w:t>Potential Fraud by Goldman Sachs in Connection with Abacus 2007-18 CDO</w:t>
      </w:r>
      <w:r>
        <w:rPr>
          <w:color w:val="000000"/>
        </w:rPr>
        <w:t>”.</w:t>
      </w:r>
    </w:p>
    <w:p w:rsidR="004F71CF" w:rsidRDefault="00985522" w:rsidP="004F71CF">
      <w:pPr>
        <w:pStyle w:val="NoSpacing"/>
        <w:ind w:left="2160" w:hanging="1440"/>
        <w:rPr>
          <w:i/>
        </w:rPr>
      </w:pPr>
      <w:r>
        <w:t>APPROVED:</w:t>
      </w:r>
      <w:r>
        <w:tab/>
        <w:t xml:space="preserve"> 5-1-2  (ROLL CALL VOTE)</w:t>
      </w:r>
    </w:p>
    <w:p w:rsidR="00985522" w:rsidRDefault="00985522" w:rsidP="004F71CF">
      <w:pPr>
        <w:pStyle w:val="NoSpacing"/>
        <w:ind w:left="2160" w:hanging="1440"/>
        <w:rPr>
          <w:i/>
        </w:rPr>
      </w:pPr>
    </w:p>
    <w:p w:rsidR="00985522" w:rsidRDefault="00985522" w:rsidP="00985522">
      <w:pPr>
        <w:pStyle w:val="NoSpacing"/>
        <w:tabs>
          <w:tab w:val="left" w:pos="810"/>
        </w:tabs>
        <w:ind w:left="2160" w:hanging="1440"/>
        <w:rPr>
          <w:i/>
        </w:rPr>
      </w:pPr>
      <w:r>
        <w:tab/>
      </w:r>
      <w:r>
        <w:tab/>
        <w:t xml:space="preserve">AYE: 5- </w:t>
      </w:r>
      <w:r>
        <w:rPr>
          <w:i/>
        </w:rPr>
        <w:t>Angelides</w:t>
      </w:r>
      <w:r w:rsidRPr="0090453B">
        <w:rPr>
          <w:i/>
        </w:rPr>
        <w:t xml:space="preserve">; </w:t>
      </w:r>
      <w:r>
        <w:rPr>
          <w:i/>
        </w:rPr>
        <w:t>Born; Georgiou; Graham</w:t>
      </w:r>
      <w:r w:rsidRPr="0090453B">
        <w:rPr>
          <w:i/>
        </w:rPr>
        <w:t xml:space="preserve">; </w:t>
      </w:r>
      <w:r>
        <w:rPr>
          <w:i/>
        </w:rPr>
        <w:t>Murren;</w:t>
      </w:r>
    </w:p>
    <w:p w:rsidR="00985522" w:rsidRDefault="00985522" w:rsidP="00985522">
      <w:pPr>
        <w:pStyle w:val="NoSpacing"/>
        <w:tabs>
          <w:tab w:val="left" w:pos="810"/>
        </w:tabs>
        <w:ind w:left="2160" w:hanging="1440"/>
        <w:rPr>
          <w:i/>
        </w:rPr>
      </w:pPr>
      <w:r>
        <w:tab/>
      </w:r>
      <w:r>
        <w:tab/>
        <w:t xml:space="preserve">NAY: </w:t>
      </w:r>
      <w:r>
        <w:rPr>
          <w:i/>
        </w:rPr>
        <w:t>1- Wallison</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tab/>
      </w:r>
      <w:r>
        <w:tab/>
      </w:r>
      <w:r w:rsidRPr="0090453B">
        <w:rPr>
          <w:i/>
        </w:rPr>
        <w:t xml:space="preserve"> </w:t>
      </w:r>
      <w:r>
        <w:rPr>
          <w:i/>
        </w:rPr>
        <w:t>(</w:t>
      </w:r>
      <w:r w:rsidRPr="0090453B">
        <w:rPr>
          <w:i/>
        </w:rPr>
        <w:t>He</w:t>
      </w:r>
      <w:r>
        <w:rPr>
          <w:i/>
        </w:rPr>
        <w:t>nnessey and Holtz-Eakin absent)).</w:t>
      </w:r>
    </w:p>
    <w:p w:rsidR="00985522" w:rsidRDefault="00985522" w:rsidP="004F71CF">
      <w:pPr>
        <w:pStyle w:val="NoSpacing"/>
        <w:ind w:left="2160" w:hanging="1440"/>
        <w:rPr>
          <w:i/>
        </w:rPr>
      </w:pPr>
    </w:p>
    <w:p w:rsidR="004F71CF" w:rsidRDefault="004F71CF" w:rsidP="006247F1">
      <w:pPr>
        <w:ind w:firstLine="720"/>
        <w:contextualSpacing/>
        <w:outlineLvl w:val="0"/>
        <w:rPr>
          <w:b/>
          <w:u w:val="single"/>
        </w:rPr>
      </w:pPr>
    </w:p>
    <w:p w:rsidR="006247F1" w:rsidRDefault="004F71CF" w:rsidP="009E6C87">
      <w:pPr>
        <w:contextualSpacing/>
        <w:outlineLvl w:val="0"/>
      </w:pPr>
      <w:r>
        <w:t>Chairman Angelides asked for a motion to clarify that the Commission made the finding and refer</w:t>
      </w:r>
      <w:r w:rsidR="00804660">
        <w:t>s</w:t>
      </w:r>
      <w:r>
        <w:t xml:space="preserve"> the matter to the Att</w:t>
      </w:r>
      <w:r w:rsidR="00804660">
        <w:t>orney General for Items 1,</w:t>
      </w:r>
      <w:r w:rsidR="00094BE0">
        <w:t xml:space="preserve"> 2</w:t>
      </w:r>
      <w:r w:rsidR="00804660">
        <w:t>,</w:t>
      </w:r>
      <w:r w:rsidR="009E6C87">
        <w:t xml:space="preserve"> </w:t>
      </w:r>
      <w:r w:rsidR="00094BE0">
        <w:t xml:space="preserve">and 3 </w:t>
      </w:r>
      <w:r>
        <w:t>of</w:t>
      </w:r>
      <w:r w:rsidR="000E5FD4">
        <w:t xml:space="preserve"> the referral memo and requested that the motion be divided </w:t>
      </w:r>
      <w:r w:rsidR="00094BE0">
        <w:t>between Items 1 and 2 and Item 3.</w:t>
      </w:r>
    </w:p>
    <w:p w:rsidR="004F71CF" w:rsidRPr="004F71CF" w:rsidRDefault="004F71CF" w:rsidP="006247F1">
      <w:pPr>
        <w:ind w:firstLine="720"/>
        <w:contextualSpacing/>
        <w:outlineLvl w:val="0"/>
      </w:pPr>
    </w:p>
    <w:p w:rsidR="009E6C87" w:rsidRPr="009E6C87" w:rsidRDefault="009E6C87" w:rsidP="009E6C87">
      <w:pPr>
        <w:pStyle w:val="NoSpacing"/>
        <w:tabs>
          <w:tab w:val="left" w:pos="810"/>
        </w:tabs>
        <w:ind w:left="2160" w:hanging="2160"/>
      </w:pPr>
      <w:r>
        <w:tab/>
      </w:r>
      <w:r w:rsidR="004F71CF" w:rsidRPr="002C4F0E">
        <w:t>MOTION:</w:t>
      </w:r>
      <w:r w:rsidR="004F71CF">
        <w:tab/>
        <w:t xml:space="preserve">Born moved and Graham seconded </w:t>
      </w:r>
      <w:r w:rsidR="004F71CF">
        <w:rPr>
          <w:color w:val="000000"/>
        </w:rPr>
        <w:t>t</w:t>
      </w:r>
      <w:r w:rsidR="004F71CF" w:rsidRPr="00322423">
        <w:rPr>
          <w:color w:val="000000"/>
        </w:rPr>
        <w:t xml:space="preserve">he motion </w:t>
      </w:r>
      <w:r w:rsidR="004F71CF">
        <w:rPr>
          <w:color w:val="000000"/>
        </w:rPr>
        <w:t>to clarify the mot</w:t>
      </w:r>
      <w:r w:rsidR="00094BE0">
        <w:rPr>
          <w:color w:val="000000"/>
        </w:rPr>
        <w:t>ion pertaining to Items 1 and 2</w:t>
      </w:r>
      <w:r>
        <w:rPr>
          <w:color w:val="000000"/>
        </w:rPr>
        <w:t xml:space="preserve"> </w:t>
      </w:r>
      <w:r w:rsidR="004F71CF">
        <w:rPr>
          <w:color w:val="000000"/>
        </w:rPr>
        <w:t xml:space="preserve">of the referral memo, </w:t>
      </w:r>
      <w:r w:rsidR="004F71CF" w:rsidRPr="00322423">
        <w:rPr>
          <w:color w:val="000000"/>
        </w:rPr>
        <w:t xml:space="preserve">that the Commission finds </w:t>
      </w:r>
      <w:r w:rsidR="004F71CF">
        <w:rPr>
          <w:color w:val="000000"/>
        </w:rPr>
        <w:t xml:space="preserve">that </w:t>
      </w:r>
      <w:r w:rsidR="004F71CF" w:rsidRPr="00322423">
        <w:rPr>
          <w:color w:val="000000"/>
        </w:rPr>
        <w:t xml:space="preserve">the persons described in </w:t>
      </w:r>
      <w:r w:rsidR="000E5FD4">
        <w:rPr>
          <w:color w:val="000000"/>
        </w:rPr>
        <w:t>Items</w:t>
      </w:r>
      <w:r w:rsidR="004F71CF">
        <w:rPr>
          <w:color w:val="000000"/>
        </w:rPr>
        <w:t xml:space="preserve"> 1 and 2</w:t>
      </w:r>
      <w:r w:rsidR="004F71CF" w:rsidRPr="00322423">
        <w:rPr>
          <w:color w:val="000000"/>
        </w:rPr>
        <w:t xml:space="preserve"> may have violated the laws of the United States in relation to the financial crisis and that the Commission refer this to the Attorney General of the United States</w:t>
      </w:r>
      <w:r w:rsidR="004F71CF">
        <w:rPr>
          <w:b/>
          <w:color w:val="000000"/>
        </w:rPr>
        <w:t>:</w:t>
      </w:r>
      <w:r w:rsidR="004F71CF" w:rsidRPr="004F71CF">
        <w:rPr>
          <w:color w:val="000000"/>
        </w:rPr>
        <w:t xml:space="preserve"> </w:t>
      </w:r>
      <w:r w:rsidRPr="00F14D24">
        <w:t>“</w:t>
      </w:r>
      <w:r w:rsidRPr="00F14D24">
        <w:rPr>
          <w:color w:val="000000"/>
        </w:rPr>
        <w:t>Potential Fraud: False and Misleading Representations about Loan Underwriting Standards by UBS and Other Issuers”</w:t>
      </w:r>
      <w:r>
        <w:t xml:space="preserve"> and </w:t>
      </w:r>
      <w:r w:rsidRPr="00F14D24">
        <w:t>“</w:t>
      </w:r>
      <w:r w:rsidRPr="00F14D24">
        <w:rPr>
          <w:color w:val="000000"/>
        </w:rPr>
        <w:t>Potential Accounting Fraud and False Certifications: Fannie Mae”</w:t>
      </w:r>
      <w:r>
        <w:rPr>
          <w:color w:val="000000"/>
        </w:rPr>
        <w:t>.</w:t>
      </w:r>
    </w:p>
    <w:p w:rsidR="006247F1" w:rsidRDefault="006247F1" w:rsidP="009E6C87">
      <w:pPr>
        <w:contextualSpacing/>
        <w:outlineLvl w:val="0"/>
        <w:rPr>
          <w:b/>
          <w:u w:val="single"/>
        </w:rPr>
      </w:pPr>
    </w:p>
    <w:p w:rsidR="009E6C87" w:rsidRDefault="00094BE0" w:rsidP="009E6C87">
      <w:pPr>
        <w:pStyle w:val="NoSpacing"/>
        <w:ind w:left="2160" w:hanging="1440"/>
        <w:rPr>
          <w:i/>
        </w:rPr>
      </w:pPr>
      <w:r>
        <w:t>APPROVED:</w:t>
      </w:r>
      <w:r>
        <w:tab/>
        <w:t xml:space="preserve"> 6-0</w:t>
      </w:r>
      <w:r w:rsidR="00985522">
        <w:t>-2  (ROLL CALL VOTE)</w:t>
      </w:r>
    </w:p>
    <w:p w:rsidR="00985522" w:rsidRDefault="00985522" w:rsidP="009E6C87">
      <w:pPr>
        <w:pStyle w:val="NoSpacing"/>
        <w:ind w:left="2160" w:hanging="1440"/>
        <w:rPr>
          <w:i/>
        </w:rPr>
      </w:pPr>
    </w:p>
    <w:p w:rsidR="00985522" w:rsidRDefault="00985522" w:rsidP="00985522">
      <w:pPr>
        <w:pStyle w:val="NoSpacing"/>
        <w:tabs>
          <w:tab w:val="left" w:pos="810"/>
        </w:tabs>
        <w:ind w:left="2160" w:hanging="1440"/>
        <w:rPr>
          <w:i/>
        </w:rPr>
      </w:pPr>
      <w:r>
        <w:tab/>
      </w:r>
      <w:r>
        <w:tab/>
        <w:t xml:space="preserve">AYE: 6- </w:t>
      </w:r>
      <w:r>
        <w:rPr>
          <w:i/>
        </w:rPr>
        <w:t>Angelides</w:t>
      </w:r>
      <w:r w:rsidRPr="0090453B">
        <w:rPr>
          <w:i/>
        </w:rPr>
        <w:t xml:space="preserve">; </w:t>
      </w:r>
      <w:r>
        <w:rPr>
          <w:i/>
        </w:rPr>
        <w:t>Born; Georgiou; Graham</w:t>
      </w:r>
      <w:r w:rsidRPr="0090453B">
        <w:rPr>
          <w:i/>
        </w:rPr>
        <w:t xml:space="preserve">; </w:t>
      </w:r>
      <w:r>
        <w:rPr>
          <w:i/>
        </w:rPr>
        <w:t>Murren; Wallison</w:t>
      </w:r>
    </w:p>
    <w:p w:rsidR="00985522" w:rsidRDefault="00985522" w:rsidP="00985522">
      <w:pPr>
        <w:pStyle w:val="NoSpacing"/>
        <w:tabs>
          <w:tab w:val="left" w:pos="810"/>
        </w:tabs>
        <w:ind w:left="2160" w:hanging="1440"/>
        <w:rPr>
          <w:i/>
        </w:rPr>
      </w:pPr>
      <w:r>
        <w:tab/>
      </w:r>
      <w:r>
        <w:tab/>
        <w:t xml:space="preserve">NAY: </w:t>
      </w:r>
      <w:r>
        <w:rPr>
          <w:i/>
        </w:rPr>
        <w:t>0</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tab/>
      </w:r>
      <w:r>
        <w:tab/>
      </w:r>
      <w:r w:rsidRPr="0090453B">
        <w:rPr>
          <w:i/>
        </w:rPr>
        <w:t xml:space="preserve"> </w:t>
      </w:r>
      <w:r>
        <w:rPr>
          <w:i/>
        </w:rPr>
        <w:t>(</w:t>
      </w:r>
      <w:r w:rsidRPr="0090453B">
        <w:rPr>
          <w:i/>
        </w:rPr>
        <w:t>He</w:t>
      </w:r>
      <w:r>
        <w:rPr>
          <w:i/>
        </w:rPr>
        <w:t>nnessey and Holtz-Eakin absent)).</w:t>
      </w:r>
    </w:p>
    <w:p w:rsidR="006247F1" w:rsidRDefault="006247F1" w:rsidP="006247F1">
      <w:pPr>
        <w:ind w:firstLine="720"/>
        <w:contextualSpacing/>
        <w:outlineLvl w:val="0"/>
        <w:rPr>
          <w:b/>
          <w:u w:val="single"/>
        </w:rPr>
      </w:pPr>
    </w:p>
    <w:p w:rsidR="00094BE0" w:rsidRPr="009E6C87" w:rsidRDefault="00094BE0" w:rsidP="00094BE0">
      <w:pPr>
        <w:pStyle w:val="NoSpacing"/>
        <w:tabs>
          <w:tab w:val="left" w:pos="810"/>
        </w:tabs>
        <w:ind w:left="2160" w:hanging="2160"/>
      </w:pPr>
      <w:r>
        <w:tab/>
      </w:r>
      <w:r w:rsidRPr="002C4F0E">
        <w:t>MOTION:</w:t>
      </w:r>
      <w:r>
        <w:tab/>
        <w:t xml:space="preserve">Born moved and Murren seconded </w:t>
      </w:r>
      <w:r>
        <w:rPr>
          <w:color w:val="000000"/>
        </w:rPr>
        <w:t>t</w:t>
      </w:r>
      <w:r w:rsidRPr="00322423">
        <w:rPr>
          <w:color w:val="000000"/>
        </w:rPr>
        <w:t xml:space="preserve">he motion </w:t>
      </w:r>
      <w:r>
        <w:rPr>
          <w:color w:val="000000"/>
        </w:rPr>
        <w:t>to clarif</w:t>
      </w:r>
      <w:r w:rsidR="000E5FD4">
        <w:rPr>
          <w:color w:val="000000"/>
        </w:rPr>
        <w:t>y the motion pertaining to Item</w:t>
      </w:r>
      <w:r>
        <w:rPr>
          <w:color w:val="000000"/>
        </w:rPr>
        <w:t xml:space="preserve"> 3 of the referral memo, </w:t>
      </w:r>
      <w:r w:rsidRPr="00322423">
        <w:rPr>
          <w:color w:val="000000"/>
        </w:rPr>
        <w:t xml:space="preserve">that the Commission finds </w:t>
      </w:r>
      <w:r>
        <w:rPr>
          <w:color w:val="000000"/>
        </w:rPr>
        <w:t xml:space="preserve">that </w:t>
      </w:r>
      <w:r w:rsidRPr="00322423">
        <w:rPr>
          <w:color w:val="000000"/>
        </w:rPr>
        <w:t xml:space="preserve">the persons described in </w:t>
      </w:r>
      <w:r w:rsidR="000E5FD4">
        <w:rPr>
          <w:color w:val="000000"/>
        </w:rPr>
        <w:t>Item</w:t>
      </w:r>
      <w:r>
        <w:rPr>
          <w:color w:val="000000"/>
        </w:rPr>
        <w:t xml:space="preserve"> 3</w:t>
      </w:r>
      <w:r w:rsidRPr="00322423">
        <w:rPr>
          <w:color w:val="000000"/>
        </w:rPr>
        <w:t xml:space="preserve"> may have violated the laws of the United States in relation to the financial crisis and that the Commission refer this to the Attorney General of the United States</w:t>
      </w:r>
      <w:r>
        <w:rPr>
          <w:b/>
          <w:color w:val="000000"/>
        </w:rPr>
        <w:t>:</w:t>
      </w:r>
      <w:r w:rsidRPr="004F71CF">
        <w:rPr>
          <w:color w:val="000000"/>
        </w:rPr>
        <w:t xml:space="preserve"> </w:t>
      </w:r>
      <w:r w:rsidRPr="00124056">
        <w:t>“</w:t>
      </w:r>
      <w:r w:rsidRPr="00124056">
        <w:rPr>
          <w:color w:val="000000"/>
        </w:rPr>
        <w:t>Moody’s Appears to Have Made Selective Disclosures of Imminent Ratings Downgrades; UBS and Possibly Other Recipients of this Information Fail to Disclose Upcoming Downgrades to Purchasers of Their Securities”</w:t>
      </w:r>
      <w:r>
        <w:rPr>
          <w:color w:val="000000"/>
        </w:rPr>
        <w:t>.</w:t>
      </w:r>
    </w:p>
    <w:p w:rsidR="00094BE0" w:rsidRDefault="00094BE0" w:rsidP="00094BE0">
      <w:pPr>
        <w:contextualSpacing/>
        <w:outlineLvl w:val="0"/>
        <w:rPr>
          <w:b/>
          <w:u w:val="single"/>
        </w:rPr>
      </w:pPr>
    </w:p>
    <w:p w:rsidR="00094BE0" w:rsidRDefault="00094BE0" w:rsidP="00094BE0">
      <w:pPr>
        <w:pStyle w:val="NoSpacing"/>
        <w:ind w:left="2160" w:hanging="1440"/>
      </w:pPr>
      <w:r>
        <w:t>APPRO</w:t>
      </w:r>
      <w:r w:rsidR="003F7131">
        <w:t>VED:</w:t>
      </w:r>
      <w:r w:rsidR="003F7131">
        <w:tab/>
        <w:t xml:space="preserve"> 5-1-</w:t>
      </w:r>
      <w:r w:rsidR="00985522">
        <w:t>2  (ROLL CALL VOTE)</w:t>
      </w:r>
    </w:p>
    <w:p w:rsidR="00985522" w:rsidRDefault="00985522" w:rsidP="00094BE0">
      <w:pPr>
        <w:pStyle w:val="NoSpacing"/>
        <w:ind w:left="2160" w:hanging="1440"/>
        <w:rPr>
          <w:i/>
        </w:rPr>
      </w:pPr>
    </w:p>
    <w:p w:rsidR="00985522" w:rsidRDefault="00985522" w:rsidP="00985522">
      <w:pPr>
        <w:pStyle w:val="NoSpacing"/>
        <w:tabs>
          <w:tab w:val="left" w:pos="810"/>
        </w:tabs>
        <w:ind w:left="2160" w:hanging="1440"/>
        <w:rPr>
          <w:i/>
        </w:rPr>
      </w:pPr>
      <w:r>
        <w:tab/>
      </w:r>
      <w:r>
        <w:tab/>
        <w:t xml:space="preserve">AYE: 5- </w:t>
      </w:r>
      <w:r>
        <w:rPr>
          <w:i/>
        </w:rPr>
        <w:t>Angelides</w:t>
      </w:r>
      <w:r w:rsidRPr="0090453B">
        <w:rPr>
          <w:i/>
        </w:rPr>
        <w:t xml:space="preserve">; </w:t>
      </w:r>
      <w:r>
        <w:rPr>
          <w:i/>
        </w:rPr>
        <w:t>Born; Georgiou; Graham</w:t>
      </w:r>
      <w:r w:rsidRPr="0090453B">
        <w:rPr>
          <w:i/>
        </w:rPr>
        <w:t xml:space="preserve">; </w:t>
      </w:r>
      <w:r>
        <w:rPr>
          <w:i/>
        </w:rPr>
        <w:t>Murren;</w:t>
      </w:r>
    </w:p>
    <w:p w:rsidR="00985522" w:rsidRDefault="00985522" w:rsidP="00985522">
      <w:pPr>
        <w:pStyle w:val="NoSpacing"/>
        <w:tabs>
          <w:tab w:val="left" w:pos="810"/>
        </w:tabs>
        <w:ind w:left="2160" w:hanging="1440"/>
        <w:rPr>
          <w:i/>
        </w:rPr>
      </w:pPr>
      <w:r>
        <w:tab/>
      </w:r>
      <w:r>
        <w:tab/>
        <w:t xml:space="preserve">NAY: </w:t>
      </w:r>
      <w:r>
        <w:rPr>
          <w:i/>
        </w:rPr>
        <w:t>1- Wallison</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lastRenderedPageBreak/>
        <w:tab/>
      </w:r>
      <w:r>
        <w:tab/>
      </w:r>
      <w:r w:rsidRPr="0090453B">
        <w:rPr>
          <w:i/>
        </w:rPr>
        <w:t xml:space="preserve"> </w:t>
      </w:r>
      <w:r>
        <w:rPr>
          <w:i/>
        </w:rPr>
        <w:t>(</w:t>
      </w:r>
      <w:r w:rsidRPr="0090453B">
        <w:rPr>
          <w:i/>
        </w:rPr>
        <w:t>He</w:t>
      </w:r>
      <w:r>
        <w:rPr>
          <w:i/>
        </w:rPr>
        <w:t>nnessey and Holtz-Eakin absent)).</w:t>
      </w:r>
    </w:p>
    <w:p w:rsidR="006247F1" w:rsidRDefault="006247F1" w:rsidP="006247F1">
      <w:pPr>
        <w:ind w:firstLine="720"/>
        <w:contextualSpacing/>
        <w:outlineLvl w:val="0"/>
        <w:rPr>
          <w:b/>
          <w:u w:val="single"/>
        </w:rPr>
      </w:pPr>
    </w:p>
    <w:p w:rsidR="006247F1" w:rsidRPr="00094BE0" w:rsidRDefault="00094BE0" w:rsidP="00094BE0">
      <w:pPr>
        <w:contextualSpacing/>
        <w:outlineLvl w:val="0"/>
      </w:pPr>
      <w:r w:rsidRPr="00094BE0">
        <w:t>Commissioner Wallison asked staff to again look into the matter of Fannie and Freddie mortgage quality reporting. Chairman Angelides</w:t>
      </w:r>
      <w:r>
        <w:t xml:space="preserve"> asked that this matter be brought back to the Commission for our next business meeting on October 12</w:t>
      </w:r>
      <w:r w:rsidRPr="00094BE0">
        <w:rPr>
          <w:vertAlign w:val="superscript"/>
        </w:rPr>
        <w:t>th</w:t>
      </w:r>
      <w:r>
        <w:t xml:space="preserve">. </w:t>
      </w:r>
    </w:p>
    <w:p w:rsidR="006247F1" w:rsidRDefault="006247F1" w:rsidP="006247F1">
      <w:pPr>
        <w:ind w:firstLine="720"/>
        <w:contextualSpacing/>
        <w:outlineLvl w:val="0"/>
        <w:rPr>
          <w:b/>
          <w:u w:val="single"/>
        </w:rPr>
      </w:pPr>
    </w:p>
    <w:p w:rsidR="006247F1" w:rsidRDefault="00094BE0" w:rsidP="00094BE0">
      <w:pPr>
        <w:contextualSpacing/>
        <w:outlineLvl w:val="0"/>
      </w:pPr>
      <w:r>
        <w:t>Commissioner Wallison requested that staff share a copy of the final referral memo to the Department of Justice with the Commission before it is submitted. Staff expressed that extra security precautions will be taken for the review of this document due its highly confidential nature.</w:t>
      </w:r>
    </w:p>
    <w:p w:rsidR="006247F1" w:rsidRDefault="006247F1" w:rsidP="006247F1">
      <w:pPr>
        <w:pStyle w:val="NoSpacing"/>
        <w:ind w:left="720"/>
      </w:pPr>
    </w:p>
    <w:p w:rsidR="00356515" w:rsidRDefault="00356515" w:rsidP="00356515">
      <w:pPr>
        <w:pStyle w:val="NoSpacing"/>
        <w:tabs>
          <w:tab w:val="left" w:pos="810"/>
        </w:tabs>
        <w:outlineLvl w:val="0"/>
        <w:rPr>
          <w:b/>
          <w:u w:val="single"/>
        </w:rPr>
      </w:pPr>
      <w:r w:rsidRPr="002C4F0E">
        <w:rPr>
          <w:b/>
          <w:u w:val="single"/>
        </w:rPr>
        <w:t xml:space="preserve">Agenda Item </w:t>
      </w:r>
      <w:r>
        <w:rPr>
          <w:b/>
          <w:u w:val="single"/>
        </w:rPr>
        <w:t>4</w:t>
      </w:r>
      <w:r w:rsidRPr="002C4F0E">
        <w:rPr>
          <w:b/>
          <w:u w:val="single"/>
        </w:rPr>
        <w:t xml:space="preserve">: </w:t>
      </w:r>
      <w:r w:rsidRPr="00356515">
        <w:rPr>
          <w:b/>
          <w:u w:val="single"/>
        </w:rPr>
        <w:t>Commission Comments on tone and approach of sample report section and timeline</w:t>
      </w:r>
    </w:p>
    <w:p w:rsidR="00356515" w:rsidRDefault="00356515" w:rsidP="00356515">
      <w:pPr>
        <w:pStyle w:val="NoSpacing"/>
        <w:tabs>
          <w:tab w:val="left" w:pos="810"/>
        </w:tabs>
        <w:outlineLvl w:val="0"/>
        <w:rPr>
          <w:b/>
          <w:u w:val="single"/>
        </w:rPr>
      </w:pPr>
    </w:p>
    <w:p w:rsidR="00356515" w:rsidRDefault="00356515" w:rsidP="00356515">
      <w:pPr>
        <w:pStyle w:val="NoSpacing"/>
        <w:tabs>
          <w:tab w:val="left" w:pos="810"/>
        </w:tabs>
        <w:outlineLvl w:val="0"/>
      </w:pPr>
      <w:r>
        <w:t>The Commission provided staff general comments on the tone and approach of the draft section that was provided for their review, including how the “why” of the financial crisis will be incorporated into the report. Overall, the Commissioners were pleased with the tone and writing of the sample draft section.</w:t>
      </w:r>
    </w:p>
    <w:p w:rsidR="00356515" w:rsidRPr="00356515" w:rsidRDefault="00356515" w:rsidP="00356515">
      <w:pPr>
        <w:pStyle w:val="NoSpacing"/>
        <w:tabs>
          <w:tab w:val="left" w:pos="810"/>
        </w:tabs>
        <w:outlineLvl w:val="0"/>
      </w:pPr>
    </w:p>
    <w:p w:rsidR="00356515" w:rsidRPr="00CA165C" w:rsidRDefault="00356515" w:rsidP="00356515">
      <w:pPr>
        <w:rPr>
          <w:b/>
          <w:bCs/>
          <w:u w:val="single"/>
        </w:rPr>
      </w:pPr>
      <w:r>
        <w:rPr>
          <w:b/>
          <w:u w:val="single"/>
        </w:rPr>
        <w:t>Agenda Item 5</w:t>
      </w:r>
      <w:r w:rsidRPr="00CA165C">
        <w:rPr>
          <w:b/>
          <w:u w:val="single"/>
        </w:rPr>
        <w:t xml:space="preserve">: Adjournment                                                       </w:t>
      </w:r>
    </w:p>
    <w:p w:rsidR="00356515" w:rsidRDefault="00356515" w:rsidP="00356515">
      <w:pPr>
        <w:pStyle w:val="ListParagraph"/>
      </w:pPr>
    </w:p>
    <w:p w:rsidR="00356515" w:rsidRDefault="00356515" w:rsidP="00356515">
      <w:pPr>
        <w:outlineLvl w:val="0"/>
      </w:pPr>
      <w:r>
        <w:t>Chairman Angelides requested a motion to adjourn the meeting.</w:t>
      </w:r>
    </w:p>
    <w:p w:rsidR="00356515" w:rsidRDefault="00356515" w:rsidP="00356515">
      <w:pPr>
        <w:pStyle w:val="NoSpacing"/>
      </w:pPr>
    </w:p>
    <w:p w:rsidR="00356515" w:rsidRDefault="00356515" w:rsidP="00356515">
      <w:pPr>
        <w:pStyle w:val="NoSpacing"/>
        <w:ind w:left="2160" w:hanging="1440"/>
        <w:outlineLvl w:val="0"/>
      </w:pPr>
      <w:r>
        <w:t>MOTION:</w:t>
      </w:r>
      <w:r>
        <w:tab/>
        <w:t>Thompson moved and Georgiou seconded a motion to adjourn the meeting.</w:t>
      </w:r>
    </w:p>
    <w:p w:rsidR="00356515" w:rsidRDefault="00356515" w:rsidP="00356515">
      <w:pPr>
        <w:pStyle w:val="NoSpacing"/>
        <w:ind w:left="2160" w:hanging="2160"/>
      </w:pPr>
    </w:p>
    <w:p w:rsidR="00356515" w:rsidRDefault="00356515" w:rsidP="00356515">
      <w:pPr>
        <w:pStyle w:val="NoSpacing"/>
        <w:ind w:left="2160" w:hanging="1440"/>
      </w:pPr>
      <w:r>
        <w:t>APPROVED:</w:t>
      </w:r>
      <w:r>
        <w:tab/>
        <w:t>8-0 (Commissioners Hennessey and Holtz-Eakin absent)</w:t>
      </w:r>
    </w:p>
    <w:p w:rsidR="006247F1" w:rsidRDefault="006247F1" w:rsidP="006247F1">
      <w:pPr>
        <w:pStyle w:val="NoSpacing"/>
        <w:ind w:left="720"/>
      </w:pPr>
    </w:p>
    <w:p w:rsidR="000E5FD4" w:rsidRDefault="000E5FD4">
      <w:r>
        <w:br w:type="page"/>
      </w:r>
    </w:p>
    <w:p w:rsidR="006247F1" w:rsidRDefault="006247F1" w:rsidP="006247F1">
      <w:pPr>
        <w:pStyle w:val="NoSpacing"/>
        <w:ind w:left="720"/>
      </w:pPr>
    </w:p>
    <w:p w:rsidR="00FD1554" w:rsidRPr="001A686C" w:rsidRDefault="00FD1554" w:rsidP="00FD1554">
      <w:pPr>
        <w:jc w:val="center"/>
        <w:rPr>
          <w:b/>
          <w:bCs/>
        </w:rPr>
      </w:pPr>
      <w:r>
        <w:rPr>
          <w:b/>
          <w:noProof/>
        </w:rPr>
        <w:drawing>
          <wp:inline distT="0" distB="0" distL="0" distR="0">
            <wp:extent cx="1238250" cy="1304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FD1554" w:rsidRDefault="00FD1554" w:rsidP="00FD1554">
      <w:pPr>
        <w:pStyle w:val="NoSpacing"/>
        <w:jc w:val="center"/>
        <w:outlineLvl w:val="0"/>
        <w:rPr>
          <w:b/>
          <w:sz w:val="28"/>
          <w:szCs w:val="28"/>
        </w:rPr>
      </w:pPr>
      <w:r>
        <w:rPr>
          <w:b/>
          <w:sz w:val="28"/>
          <w:szCs w:val="28"/>
        </w:rPr>
        <w:t>Financial Crisis Inquiry Commission</w:t>
      </w:r>
    </w:p>
    <w:p w:rsidR="00643266" w:rsidRPr="002C4F0E" w:rsidRDefault="00643266" w:rsidP="00643266">
      <w:pPr>
        <w:pStyle w:val="NoSpacing"/>
        <w:jc w:val="center"/>
        <w:rPr>
          <w:b/>
        </w:rPr>
      </w:pPr>
      <w:r>
        <w:rPr>
          <w:b/>
        </w:rPr>
        <w:t>Agenda Item 4</w:t>
      </w:r>
      <w:r w:rsidRPr="002C4F0E">
        <w:rPr>
          <w:b/>
        </w:rPr>
        <w:t xml:space="preserve"> for </w:t>
      </w:r>
      <w:r>
        <w:rPr>
          <w:b/>
        </w:rPr>
        <w:t>Telephonic Business Meeting of October 12, 2010</w:t>
      </w:r>
    </w:p>
    <w:p w:rsidR="00643266" w:rsidRDefault="00643266" w:rsidP="00643266">
      <w:pPr>
        <w:pStyle w:val="NoSpacing"/>
        <w:jc w:val="center"/>
        <w:rPr>
          <w:b/>
        </w:rPr>
      </w:pPr>
      <w:r w:rsidRPr="002C4F0E">
        <w:rPr>
          <w:b/>
        </w:rPr>
        <w:t xml:space="preserve">Minutes of </w:t>
      </w:r>
      <w:r>
        <w:rPr>
          <w:b/>
        </w:rPr>
        <w:t xml:space="preserve">Business/Retreat </w:t>
      </w:r>
      <w:r w:rsidRPr="002C4F0E">
        <w:rPr>
          <w:b/>
        </w:rPr>
        <w:t>Meeting</w:t>
      </w:r>
      <w:r>
        <w:rPr>
          <w:b/>
        </w:rPr>
        <w:t xml:space="preserve"> of</w:t>
      </w:r>
    </w:p>
    <w:p w:rsidR="00643266" w:rsidRPr="002C4F0E" w:rsidRDefault="00643266" w:rsidP="00643266">
      <w:pPr>
        <w:pStyle w:val="NoSpacing"/>
        <w:jc w:val="center"/>
        <w:rPr>
          <w:b/>
        </w:rPr>
      </w:pPr>
      <w:r>
        <w:rPr>
          <w:b/>
        </w:rPr>
        <w:t>September 29, 2010</w:t>
      </w:r>
    </w:p>
    <w:p w:rsidR="00643266" w:rsidRDefault="00643266" w:rsidP="00FD1554">
      <w:pPr>
        <w:pStyle w:val="NoSpacing"/>
        <w:jc w:val="center"/>
        <w:outlineLvl w:val="0"/>
        <w:rPr>
          <w:b/>
          <w:sz w:val="28"/>
          <w:szCs w:val="28"/>
        </w:rPr>
      </w:pPr>
    </w:p>
    <w:p w:rsidR="00FD1554" w:rsidRPr="00643266" w:rsidRDefault="00643266" w:rsidP="00FD1554">
      <w:pPr>
        <w:jc w:val="center"/>
        <w:rPr>
          <w:b/>
          <w:sz w:val="28"/>
          <w:szCs w:val="28"/>
        </w:rPr>
      </w:pPr>
      <w:r w:rsidRPr="00643266">
        <w:rPr>
          <w:b/>
          <w:sz w:val="28"/>
          <w:szCs w:val="28"/>
        </w:rPr>
        <w:t>ATTACHMENT</w:t>
      </w:r>
    </w:p>
    <w:p w:rsidR="00FD1554" w:rsidRDefault="00FD1554" w:rsidP="00FD1554">
      <w:pPr>
        <w:jc w:val="center"/>
        <w:rPr>
          <w:b/>
        </w:rPr>
      </w:pPr>
      <w:r w:rsidRPr="00FD1554">
        <w:rPr>
          <w:b/>
        </w:rPr>
        <w:t>Confidential Referral Memorandum</w:t>
      </w:r>
    </w:p>
    <w:p w:rsidR="00FD1554" w:rsidRDefault="00FD1554" w:rsidP="00FD1554">
      <w:pPr>
        <w:jc w:val="center"/>
        <w:rPr>
          <w:b/>
        </w:rPr>
      </w:pPr>
    </w:p>
    <w:p w:rsidR="00FD1554" w:rsidRPr="00FD1554" w:rsidRDefault="00FD1554" w:rsidP="00FD1554">
      <w:pPr>
        <w:jc w:val="center"/>
        <w:rPr>
          <w:b/>
        </w:rPr>
      </w:pPr>
    </w:p>
    <w:p w:rsidR="001340A8" w:rsidRDefault="001340A8" w:rsidP="0057334D">
      <w:pPr>
        <w:jc w:val="center"/>
        <w:rPr>
          <w:sz w:val="16"/>
          <w:szCs w:val="20"/>
        </w:rPr>
      </w:pPr>
    </w:p>
    <w:p w:rsidR="00FD1554" w:rsidRPr="00CF5098" w:rsidRDefault="00FD1554" w:rsidP="00FD1554">
      <w:pPr>
        <w:outlineLvl w:val="0"/>
      </w:pPr>
      <w:r>
        <w:t xml:space="preserve">FROM:  </w:t>
      </w:r>
      <w:r>
        <w:tab/>
        <w:t>Financial Crisis Inquiry Commission Legal Staff</w:t>
      </w:r>
    </w:p>
    <w:p w:rsidR="00FD1554" w:rsidRPr="00CF5098" w:rsidRDefault="00FD1554" w:rsidP="00FD1554"/>
    <w:p w:rsidR="00FD1554" w:rsidRPr="00CF5098" w:rsidRDefault="00FD1554" w:rsidP="00FD1554">
      <w:r w:rsidRPr="00CF5098">
        <w:t xml:space="preserve">TO: </w:t>
      </w:r>
      <w:r w:rsidRPr="00CF5098">
        <w:tab/>
      </w:r>
      <w:r w:rsidRPr="00CF5098">
        <w:tab/>
      </w:r>
      <w:r>
        <w:t>Commissioners of the Financial Crisis Inquiry Commission</w:t>
      </w:r>
    </w:p>
    <w:p w:rsidR="00FD1554" w:rsidRPr="00CF5098" w:rsidRDefault="00FD1554" w:rsidP="00FD1554"/>
    <w:p w:rsidR="00FD1554" w:rsidRPr="00CF5098" w:rsidRDefault="00FD1554" w:rsidP="00FD1554">
      <w:r w:rsidRPr="00CF5098">
        <w:t>Cc</w:t>
      </w:r>
      <w:r>
        <w:t>:</w:t>
      </w:r>
      <w:r>
        <w:tab/>
      </w:r>
      <w:r>
        <w:tab/>
        <w:t xml:space="preserve">Wendy Edelberg </w:t>
      </w:r>
    </w:p>
    <w:p w:rsidR="00FD1554" w:rsidRPr="00CF5098" w:rsidRDefault="00FD1554" w:rsidP="00FD1554">
      <w:r w:rsidRPr="00CF5098">
        <w:tab/>
      </w:r>
      <w:r w:rsidRPr="00CF5098">
        <w:tab/>
      </w:r>
    </w:p>
    <w:p w:rsidR="00FD1554" w:rsidRPr="00CF5098" w:rsidRDefault="00FD1554" w:rsidP="00FD1554">
      <w:r w:rsidRPr="00CF5098">
        <w:t xml:space="preserve">DATE: </w:t>
      </w:r>
      <w:r w:rsidRPr="00CF5098">
        <w:tab/>
      </w:r>
      <w:r>
        <w:t>September 12</w:t>
      </w:r>
      <w:r w:rsidRPr="00CF5098">
        <w:t>, 2010</w:t>
      </w:r>
    </w:p>
    <w:p w:rsidR="00FD1554" w:rsidRPr="00CF5098" w:rsidRDefault="00FD1554" w:rsidP="00FD1554"/>
    <w:p w:rsidR="00FD1554" w:rsidRPr="00CF5098" w:rsidRDefault="00FD1554" w:rsidP="00FD1554">
      <w:r w:rsidRPr="00CF5098">
        <w:t xml:space="preserve">RE: </w:t>
      </w:r>
      <w:r w:rsidRPr="00CF5098">
        <w:tab/>
      </w:r>
      <w:r w:rsidRPr="00CF5098">
        <w:tab/>
      </w:r>
      <w:r>
        <w:t>Confidential Referral Memorandum</w:t>
      </w:r>
    </w:p>
    <w:p w:rsidR="00FD1554" w:rsidRPr="00CF5098" w:rsidRDefault="00FD1554" w:rsidP="00FD1554"/>
    <w:p w:rsidR="00FD1554" w:rsidRPr="00CF5098" w:rsidRDefault="00787094" w:rsidP="00FD1554">
      <w:r>
        <w:rPr>
          <w:noProof/>
        </w:rPr>
        <w:pict>
          <v:shapetype id="_x0000_t32" coordsize="21600,21600" o:spt="32" o:oned="t" path="m,l21600,21600e" filled="f">
            <v:path arrowok="t" fillok="f" o:connecttype="none"/>
            <o:lock v:ext="edit" shapetype="t"/>
          </v:shapetype>
          <v:shape id="_x0000_s1027" type="#_x0000_t32" style="position:absolute;margin-left:2.25pt;margin-top:7.35pt;width:434.25pt;height:0;z-index:251660288" o:connectortype="straight"/>
        </w:pict>
      </w:r>
    </w:p>
    <w:p w:rsidR="00FD1554" w:rsidRPr="00CF5098" w:rsidRDefault="00FD1554" w:rsidP="00FD1554">
      <w:pPr>
        <w:spacing w:before="100" w:beforeAutospacing="1" w:after="100" w:afterAutospacing="1"/>
        <w:rPr>
          <w:color w:val="000000"/>
        </w:rPr>
      </w:pPr>
      <w:r>
        <w:rPr>
          <w:color w:val="000000"/>
        </w:rPr>
        <w:t>Pursuant to s</w:t>
      </w:r>
      <w:r w:rsidRPr="00CF5098">
        <w:rPr>
          <w:color w:val="000000"/>
        </w:rPr>
        <w:t>ection 5(c) (4) of the Fraud Enforcement and Recovery Act of 2009</w:t>
      </w:r>
      <w:r>
        <w:rPr>
          <w:color w:val="000000"/>
        </w:rPr>
        <w:t>, one function of t</w:t>
      </w:r>
      <w:r w:rsidRPr="00CF5098">
        <w:rPr>
          <w:color w:val="000000"/>
        </w:rPr>
        <w:t xml:space="preserve">he Financial Crisis Inquiry Commission </w:t>
      </w:r>
      <w:r>
        <w:rPr>
          <w:color w:val="000000"/>
        </w:rPr>
        <w:t xml:space="preserve">is </w:t>
      </w:r>
      <w:r w:rsidRPr="00CF5098">
        <w:rPr>
          <w:color w:val="000000"/>
        </w:rPr>
        <w:t xml:space="preserve">to: </w:t>
      </w:r>
    </w:p>
    <w:p w:rsidR="00FD1554" w:rsidRPr="00CF5098" w:rsidRDefault="00FD1554" w:rsidP="00FD1554">
      <w:pPr>
        <w:spacing w:before="100" w:beforeAutospacing="1" w:after="100" w:afterAutospacing="1"/>
        <w:ind w:left="720"/>
        <w:rPr>
          <w:color w:val="000000"/>
        </w:rPr>
      </w:pPr>
      <w:r w:rsidRPr="00CF5098">
        <w:rPr>
          <w:color w:val="000000"/>
        </w:rPr>
        <w:t>refer to the Attorney General of the United States and any State attorney general any person that the Commission finds may have violated the laws of the United States in relation to such cri</w:t>
      </w:r>
      <w:r>
        <w:rPr>
          <w:color w:val="000000"/>
        </w:rPr>
        <w:t>sis.</w:t>
      </w:r>
    </w:p>
    <w:p w:rsidR="00FD1554" w:rsidRDefault="00FD1554" w:rsidP="00FD1554">
      <w:pPr>
        <w:spacing w:before="100" w:beforeAutospacing="1" w:after="100" w:afterAutospacing="1"/>
        <w:rPr>
          <w:color w:val="000000"/>
        </w:rPr>
      </w:pPr>
      <w:r>
        <w:rPr>
          <w:color w:val="000000"/>
        </w:rPr>
        <w:t>Although FCIC staff has been primarily focused on our overall mission of examining and reporting to Congress, the President and the American people on the causes of the financial crisis, our inquiry has nonetheless generated information that the Commission should consider referring to the Department of Justice.  Because FCIC staff has focused on understanding the causes of the financial crisis, rather than developing cases for prosecution, all of the referral matters will require further investigation by the Department of Justice.  Nonetheless, the matters presented below constitute serious indications of violation of a number of laws.</w:t>
      </w:r>
    </w:p>
    <w:p w:rsidR="00FD1554" w:rsidRPr="00CF5098" w:rsidRDefault="00FD1554" w:rsidP="00FD1554">
      <w:pPr>
        <w:spacing w:before="100" w:beforeAutospacing="1" w:after="100" w:afterAutospacing="1"/>
        <w:rPr>
          <w:color w:val="000000"/>
        </w:rPr>
      </w:pPr>
      <w:r w:rsidRPr="00CF5098">
        <w:rPr>
          <w:color w:val="000000"/>
        </w:rPr>
        <w:t xml:space="preserve">At a meeting of the Commissioners held on May 18, 2010, a process for referrals was presented to the Commissioners for consideration and review. Further to that process, this memorandum </w:t>
      </w:r>
      <w:r w:rsidRPr="00CF5098">
        <w:rPr>
          <w:color w:val="000000"/>
        </w:rPr>
        <w:lastRenderedPageBreak/>
        <w:t xml:space="preserve">describes certain items </w:t>
      </w:r>
      <w:r>
        <w:rPr>
          <w:color w:val="000000"/>
        </w:rPr>
        <w:t>FCIC staff</w:t>
      </w:r>
      <w:r w:rsidRPr="00CF5098">
        <w:rPr>
          <w:color w:val="000000"/>
        </w:rPr>
        <w:t xml:space="preserve"> </w:t>
      </w:r>
      <w:r>
        <w:rPr>
          <w:color w:val="000000"/>
        </w:rPr>
        <w:t xml:space="preserve">believes meet the standards of our enabling statute and therefore should </w:t>
      </w:r>
      <w:r w:rsidRPr="00CF5098">
        <w:rPr>
          <w:color w:val="000000"/>
        </w:rPr>
        <w:t xml:space="preserve">be considered by the Commission for potential referral. </w:t>
      </w:r>
      <w:r>
        <w:rPr>
          <w:color w:val="000000"/>
        </w:rPr>
        <w:t xml:space="preserve"> </w:t>
      </w:r>
      <w:r w:rsidRPr="00CF5098">
        <w:rPr>
          <w:color w:val="000000"/>
        </w:rPr>
        <w:t>This is not a full elaboration of the matters, but rather highlights possible items, and is based on conversations with senior Commission investigators.</w:t>
      </w:r>
      <w:r>
        <w:rPr>
          <w:color w:val="000000"/>
        </w:rPr>
        <w:t xml:space="preserve">  We also note that our statute does not limit our referrals to only criminal matters, thus we have broadly interpreted the statutory provision.</w:t>
      </w:r>
    </w:p>
    <w:p w:rsidR="00FD1554" w:rsidRPr="00CF5098" w:rsidRDefault="00FD1554" w:rsidP="00FD1554">
      <w:pPr>
        <w:spacing w:before="100" w:beforeAutospacing="1" w:after="100" w:afterAutospacing="1"/>
        <w:rPr>
          <w:color w:val="000000"/>
        </w:rPr>
      </w:pPr>
      <w:r w:rsidRPr="00CF5098">
        <w:rPr>
          <w:color w:val="000000"/>
        </w:rPr>
        <w:t xml:space="preserve">It is </w:t>
      </w:r>
      <w:r>
        <w:rPr>
          <w:color w:val="000000"/>
        </w:rPr>
        <w:t xml:space="preserve">the staff’s </w:t>
      </w:r>
      <w:r w:rsidRPr="00CF5098">
        <w:rPr>
          <w:color w:val="000000"/>
        </w:rPr>
        <w:t xml:space="preserve">recommendation that these items be delegated to Commission investigators for preparation of a </w:t>
      </w:r>
      <w:r>
        <w:rPr>
          <w:color w:val="000000"/>
        </w:rPr>
        <w:t xml:space="preserve">referral </w:t>
      </w:r>
      <w:r w:rsidRPr="00CF5098">
        <w:rPr>
          <w:color w:val="000000"/>
        </w:rPr>
        <w:t xml:space="preserve">memorandum on each subject (which memorandum will be based on investigations already completed by the Commission staff) for </w:t>
      </w:r>
      <w:r>
        <w:rPr>
          <w:color w:val="000000"/>
        </w:rPr>
        <w:t>presentation to the Attorney General.</w:t>
      </w:r>
    </w:p>
    <w:p w:rsidR="00FD1554" w:rsidRDefault="00FD1554" w:rsidP="00FD1554">
      <w:pPr>
        <w:spacing w:before="100" w:beforeAutospacing="1" w:after="100" w:afterAutospacing="1"/>
        <w:rPr>
          <w:color w:val="000000"/>
        </w:rPr>
      </w:pPr>
      <w:r>
        <w:rPr>
          <w:color w:val="000000"/>
        </w:rPr>
        <w:t>Our plan, should the Commission determine to proceed, would be to send a letter to Attorney General Holder which will include  detailed summaries for each of the matters with appropriate attachments such as e-mails, other documents and interview transcripts.</w:t>
      </w:r>
      <w:r w:rsidRPr="006C3415">
        <w:rPr>
          <w:color w:val="000000"/>
        </w:rPr>
        <w:t xml:space="preserve"> </w:t>
      </w:r>
    </w:p>
    <w:p w:rsidR="00FD1554" w:rsidRDefault="00FD1554" w:rsidP="00FD1554">
      <w:pPr>
        <w:spacing w:before="100" w:beforeAutospacing="1" w:after="100" w:afterAutospacing="1"/>
        <w:rPr>
          <w:color w:val="000000"/>
        </w:rPr>
      </w:pPr>
      <w:r w:rsidRPr="00CF5098">
        <w:rPr>
          <w:color w:val="000000"/>
        </w:rPr>
        <w:t xml:space="preserve">Although there is no established template for referrals, we have typically seen packages from investigative agencies seeking criminal prosecutions or civil enforcement filings that consist of: (1) a referral memo containing an overview of the investigation (why started, what investigative steps, comments about motivations and credibility of witnesses) and an analysis of the facts and law that </w:t>
      </w:r>
      <w:r>
        <w:rPr>
          <w:color w:val="000000"/>
        </w:rPr>
        <w:t>indicate that there may be a violation</w:t>
      </w:r>
      <w:r w:rsidRPr="00CF5098">
        <w:rPr>
          <w:color w:val="000000"/>
        </w:rPr>
        <w:t xml:space="preserve">; (2) reports of investigative interviews prepared by investigators (similar to our MFRs) and (3) any reports, documents or other evidence that might support the proposed </w:t>
      </w:r>
      <w:r>
        <w:rPr>
          <w:color w:val="000000"/>
        </w:rPr>
        <w:t>referral</w:t>
      </w:r>
      <w:r w:rsidRPr="00CF5098">
        <w:rPr>
          <w:color w:val="000000"/>
        </w:rPr>
        <w:t>.  As to (2), in the event that we have recordings or transcripts, it would be appropriate to include</w:t>
      </w:r>
      <w:r>
        <w:rPr>
          <w:color w:val="000000"/>
        </w:rPr>
        <w:t xml:space="preserve"> these in the referral package.</w:t>
      </w:r>
    </w:p>
    <w:p w:rsidR="00FD1554" w:rsidRPr="00CF5098" w:rsidRDefault="00FD1554" w:rsidP="00FD1554">
      <w:pPr>
        <w:spacing w:before="100" w:beforeAutospacing="1" w:after="100" w:afterAutospacing="1"/>
        <w:rPr>
          <w:color w:val="000000"/>
        </w:rPr>
      </w:pPr>
      <w:r>
        <w:rPr>
          <w:color w:val="000000"/>
        </w:rPr>
        <w:t>We well understand that some of these matters are under investigation by federal agencies and departments; may have been the subject of investigations, or may have been resolved in whole or in part, e.g., the SEC’s recent settlement with Citigroup and Goldman Sachs.  However, since the Commission is not privy to the full record of these investigations(</w:t>
      </w:r>
      <w:r>
        <w:t xml:space="preserve"> for example, the FCIC has not been given access to information about on-going criminal investigations)</w:t>
      </w:r>
      <w:r>
        <w:rPr>
          <w:color w:val="000000"/>
        </w:rPr>
        <w:t xml:space="preserve">, and our statute does not provide a carve-out for matters that may be under investigation by others, we nonetheless recommend consideration of referrals based on our inquiry as follows: </w:t>
      </w:r>
    </w:p>
    <w:p w:rsidR="00FD1554" w:rsidRPr="00CF5098" w:rsidRDefault="00FD1554" w:rsidP="00FD1554">
      <w:pPr>
        <w:spacing w:before="100" w:beforeAutospacing="1" w:after="100" w:afterAutospacing="1"/>
        <w:ind w:left="1440" w:hanging="720"/>
        <w:outlineLvl w:val="0"/>
        <w:rPr>
          <w:b/>
          <w:color w:val="000000"/>
        </w:rPr>
      </w:pPr>
      <w:r w:rsidRPr="00CF5098">
        <w:rPr>
          <w:b/>
          <w:color w:val="000000"/>
        </w:rPr>
        <w:t>1.</w:t>
      </w:r>
      <w:r w:rsidRPr="00CF5098">
        <w:rPr>
          <w:b/>
          <w:color w:val="000000"/>
        </w:rPr>
        <w:tab/>
      </w:r>
      <w:r w:rsidRPr="00CF5098">
        <w:rPr>
          <w:b/>
          <w:color w:val="000000"/>
          <w:u w:val="single"/>
        </w:rPr>
        <w:t>Potential Fraud: False and Misleading Representations about Loan Underwriting Standards by UBS and Other Issuers</w:t>
      </w:r>
    </w:p>
    <w:p w:rsidR="00FD1554" w:rsidRPr="00CF5098" w:rsidRDefault="00FD1554" w:rsidP="00FD1554">
      <w:pPr>
        <w:spacing w:before="100" w:beforeAutospacing="1" w:after="100" w:afterAutospacing="1"/>
        <w:rPr>
          <w:color w:val="000000"/>
        </w:rPr>
      </w:pPr>
      <w:r w:rsidRPr="00CF5098">
        <w:rPr>
          <w:color w:val="000000"/>
        </w:rPr>
        <w:t xml:space="preserve">UBS, like a number of other financial institutions, used </w:t>
      </w:r>
      <w:r>
        <w:rPr>
          <w:color w:val="000000"/>
        </w:rPr>
        <w:t>Clayton Holdings</w:t>
      </w:r>
      <w:r w:rsidRPr="00CF5098">
        <w:rPr>
          <w:color w:val="000000"/>
        </w:rPr>
        <w:t xml:space="preserve"> to assess the quality of the mortgages it was purchasing for resale in the form of Residential Mortgage-Backed Securities (RMBS).  Typically </w:t>
      </w:r>
      <w:r>
        <w:rPr>
          <w:color w:val="000000"/>
        </w:rPr>
        <w:t>UBS, or the other financial institutions,</w:t>
      </w:r>
      <w:r w:rsidRPr="00CF5098">
        <w:rPr>
          <w:color w:val="000000"/>
        </w:rPr>
        <w:t xml:space="preserve"> bid on packages consisting of a thousand or more mortgages from originators like Countrywide</w:t>
      </w:r>
      <w:r>
        <w:rPr>
          <w:color w:val="000000"/>
        </w:rPr>
        <w:t xml:space="preserve"> or Fremont</w:t>
      </w:r>
      <w:r w:rsidRPr="00CF5098">
        <w:rPr>
          <w:color w:val="000000"/>
        </w:rPr>
        <w:t xml:space="preserve">. </w:t>
      </w:r>
    </w:p>
    <w:p w:rsidR="00FD1554" w:rsidRPr="00CF5098" w:rsidRDefault="00FD1554" w:rsidP="00FD1554">
      <w:pPr>
        <w:spacing w:before="100" w:beforeAutospacing="1" w:after="100" w:afterAutospacing="1"/>
        <w:rPr>
          <w:color w:val="000000"/>
        </w:rPr>
      </w:pPr>
      <w:r>
        <w:rPr>
          <w:color w:val="000000"/>
        </w:rPr>
        <w:t>From these large pools of mortgages</w:t>
      </w:r>
      <w:r w:rsidRPr="00CF5098">
        <w:rPr>
          <w:color w:val="000000"/>
        </w:rPr>
        <w:t xml:space="preserve">, UBS would require </w:t>
      </w:r>
      <w:r>
        <w:rPr>
          <w:color w:val="000000"/>
        </w:rPr>
        <w:t xml:space="preserve">Clayton Holdings </w:t>
      </w:r>
      <w:r w:rsidRPr="00CF5098">
        <w:rPr>
          <w:color w:val="000000"/>
        </w:rPr>
        <w:t>to examine 5% to 10% of the mortgage pool to ascertain whether the m</w:t>
      </w:r>
      <w:r>
        <w:rPr>
          <w:color w:val="000000"/>
        </w:rPr>
        <w:t xml:space="preserve">ortgages met </w:t>
      </w:r>
      <w:r w:rsidRPr="00CF5098">
        <w:rPr>
          <w:color w:val="000000"/>
        </w:rPr>
        <w:t>underwriting guidelines.  In its RMBS offering documents, UBS disclosed its loan underwriting standards</w:t>
      </w:r>
      <w:r>
        <w:rPr>
          <w:color w:val="000000"/>
        </w:rPr>
        <w:t xml:space="preserve"> </w:t>
      </w:r>
      <w:r w:rsidRPr="00CF5098">
        <w:rPr>
          <w:color w:val="000000"/>
        </w:rPr>
        <w:t xml:space="preserve">used in making the loans.  These disclosures were designed to assure the prospective investor that the mortgages were of high quality and reasonably secure.  However, after five or more pages explaining these criteria, UBS would state—typically in a single sentence--that </w:t>
      </w:r>
      <w:r w:rsidRPr="00CF5098">
        <w:rPr>
          <w:b/>
          <w:i/>
          <w:color w:val="000000"/>
        </w:rPr>
        <w:t>some number</w:t>
      </w:r>
      <w:r w:rsidRPr="00CF5098">
        <w:rPr>
          <w:color w:val="000000"/>
        </w:rPr>
        <w:t xml:space="preserve"> of the mortgages constituting the pool for its RMBS did not meet these criteria.   </w:t>
      </w:r>
    </w:p>
    <w:p w:rsidR="00FD1554" w:rsidRPr="00CF5098" w:rsidRDefault="00FD1554" w:rsidP="00FD1554">
      <w:pPr>
        <w:spacing w:before="100" w:beforeAutospacing="1" w:after="100" w:afterAutospacing="1"/>
        <w:rPr>
          <w:color w:val="000000"/>
        </w:rPr>
      </w:pPr>
      <w:r>
        <w:rPr>
          <w:color w:val="000000"/>
        </w:rPr>
        <w:lastRenderedPageBreak/>
        <w:t>UBS</w:t>
      </w:r>
      <w:r w:rsidRPr="00CF5098">
        <w:rPr>
          <w:color w:val="000000"/>
        </w:rPr>
        <w:t xml:space="preserve"> did not disclose that the number of loans sampled by Clayton that did not meet UBS’s underwriting standards was substantial.  </w:t>
      </w:r>
      <w:r>
        <w:rPr>
          <w:color w:val="000000"/>
        </w:rPr>
        <w:t>For example, i</w:t>
      </w:r>
      <w:r w:rsidRPr="00CF5098">
        <w:rPr>
          <w:color w:val="000000"/>
        </w:rPr>
        <w:t>n 1Q07, 62% of the loans sampled by Clayton did not meet UBS’s underwriting standards</w:t>
      </w:r>
      <w:r>
        <w:rPr>
          <w:color w:val="000000"/>
        </w:rPr>
        <w:t>, an unusually high failure rate.</w:t>
      </w:r>
      <w:r w:rsidRPr="00CF5098">
        <w:rPr>
          <w:color w:val="000000"/>
        </w:rPr>
        <w:t xml:space="preserve"> </w:t>
      </w:r>
      <w:r>
        <w:rPr>
          <w:color w:val="000000"/>
        </w:rPr>
        <w:t xml:space="preserve"> B</w:t>
      </w:r>
      <w:r w:rsidRPr="00CF5098">
        <w:rPr>
          <w:color w:val="000000"/>
        </w:rPr>
        <w:t xml:space="preserve">ut UBS waived </w:t>
      </w:r>
      <w:r>
        <w:rPr>
          <w:color w:val="000000"/>
        </w:rPr>
        <w:t xml:space="preserve">enough of these failures to result in </w:t>
      </w:r>
      <w:r w:rsidRPr="00CF5098">
        <w:rPr>
          <w:color w:val="000000"/>
        </w:rPr>
        <w:t xml:space="preserve">a </w:t>
      </w:r>
      <w:r>
        <w:rPr>
          <w:color w:val="000000"/>
        </w:rPr>
        <w:t xml:space="preserve">failure rate of a </w:t>
      </w:r>
      <w:r w:rsidRPr="00CF5098">
        <w:rPr>
          <w:color w:val="000000"/>
        </w:rPr>
        <w:t xml:space="preserve">little more than 10%. To protect itself from possible liability, Clayton </w:t>
      </w:r>
      <w:r>
        <w:rPr>
          <w:color w:val="000000"/>
        </w:rPr>
        <w:t xml:space="preserve"> </w:t>
      </w:r>
      <w:r w:rsidRPr="00CF5098">
        <w:rPr>
          <w:color w:val="000000"/>
        </w:rPr>
        <w:t xml:space="preserve">kept records of the re-marked mortgages, noting them as 2-W’s, that is, mortgages that were upgraded from </w:t>
      </w:r>
      <w:r>
        <w:rPr>
          <w:color w:val="000000"/>
        </w:rPr>
        <w:t>failing to meet underwriting standards</w:t>
      </w:r>
      <w:r w:rsidRPr="00CF5098">
        <w:rPr>
          <w:color w:val="000000"/>
        </w:rPr>
        <w:t xml:space="preserve"> to </w:t>
      </w:r>
      <w:r>
        <w:rPr>
          <w:color w:val="000000"/>
        </w:rPr>
        <w:t xml:space="preserve">meeting these standards based on </w:t>
      </w:r>
      <w:r w:rsidRPr="00CF5098">
        <w:rPr>
          <w:color w:val="000000"/>
        </w:rPr>
        <w:t xml:space="preserve">a waiver of the underwriting criteria by UBS.  </w:t>
      </w:r>
    </w:p>
    <w:p w:rsidR="00FD1554" w:rsidRPr="00CF5098" w:rsidRDefault="00FD1554" w:rsidP="00FD1554">
      <w:pPr>
        <w:spacing w:before="100" w:beforeAutospacing="1" w:after="100" w:afterAutospacing="1"/>
        <w:rPr>
          <w:color w:val="000000"/>
        </w:rPr>
      </w:pPr>
      <w:r w:rsidRPr="00CF5098">
        <w:rPr>
          <w:color w:val="000000"/>
        </w:rPr>
        <w:t xml:space="preserve">While our investigative record is not as complete for other companies, we have received documents from Clayton that disclose </w:t>
      </w:r>
      <w:r>
        <w:rPr>
          <w:color w:val="000000"/>
        </w:rPr>
        <w:t>loans to be acquired by the</w:t>
      </w:r>
      <w:r w:rsidRPr="00CF5098">
        <w:rPr>
          <w:color w:val="000000"/>
        </w:rPr>
        <w:t xml:space="preserve"> following companies had substantial </w:t>
      </w:r>
      <w:r>
        <w:rPr>
          <w:color w:val="000000"/>
        </w:rPr>
        <w:t>failure</w:t>
      </w:r>
      <w:r w:rsidRPr="00CF5098">
        <w:rPr>
          <w:color w:val="000000"/>
        </w:rPr>
        <w:t xml:space="preserve"> rates</w:t>
      </w:r>
      <w:r>
        <w:rPr>
          <w:color w:val="000000"/>
        </w:rPr>
        <w:t>—that is rates at which samples of loans did not meet established underwriting criteria--</w:t>
      </w:r>
      <w:r w:rsidRPr="00CF5098">
        <w:rPr>
          <w:color w:val="000000"/>
        </w:rPr>
        <w:t xml:space="preserve"> in the full year of 2006 and the first half of 2007.  However, in order to get to even these numbers, companies waived </w:t>
      </w:r>
      <w:r>
        <w:rPr>
          <w:color w:val="000000"/>
        </w:rPr>
        <w:t xml:space="preserve">their established </w:t>
      </w:r>
      <w:r w:rsidRPr="00CF5098">
        <w:rPr>
          <w:color w:val="000000"/>
        </w:rPr>
        <w:t>underwriting criteria:</w:t>
      </w:r>
    </w:p>
    <w:p w:rsidR="00FD1554" w:rsidRPr="00CF5098" w:rsidRDefault="00FD1554" w:rsidP="00FD1554">
      <w:pPr>
        <w:spacing w:before="100" w:beforeAutospacing="1" w:after="100" w:afterAutospacing="1"/>
        <w:rPr>
          <w:b/>
          <w:color w:val="000000"/>
          <w:u w:val="single"/>
        </w:rPr>
      </w:pPr>
      <w:r w:rsidRPr="00CF5098">
        <w:rPr>
          <w:b/>
          <w:color w:val="000000"/>
          <w:u w:val="single"/>
        </w:rPr>
        <w:t>Company</w:t>
      </w:r>
      <w:r w:rsidRPr="00CF5098">
        <w:rPr>
          <w:b/>
          <w:color w:val="000000"/>
        </w:rPr>
        <w:tab/>
      </w:r>
      <w:r w:rsidRPr="00CF5098">
        <w:rPr>
          <w:b/>
          <w:color w:val="000000"/>
        </w:rPr>
        <w:tab/>
      </w:r>
      <w:r w:rsidRPr="00CF5098">
        <w:rPr>
          <w:b/>
          <w:color w:val="000000"/>
          <w:u w:val="single"/>
        </w:rPr>
        <w:t xml:space="preserve">Total Loans </w:t>
      </w:r>
      <w:r>
        <w:rPr>
          <w:b/>
          <w:color w:val="000000"/>
          <w:u w:val="single"/>
        </w:rPr>
        <w:t>Sampled</w:t>
      </w:r>
      <w:r w:rsidRPr="00CF5098">
        <w:rPr>
          <w:b/>
          <w:color w:val="000000"/>
        </w:rPr>
        <w:tab/>
      </w:r>
      <w:r w:rsidRPr="00CF5098">
        <w:rPr>
          <w:b/>
          <w:color w:val="000000"/>
          <w:u w:val="single"/>
        </w:rPr>
        <w:t>Waiver Rate</w:t>
      </w:r>
      <w:r>
        <w:rPr>
          <w:rStyle w:val="FootnoteReference"/>
          <w:b/>
          <w:color w:val="000000"/>
          <w:u w:val="single"/>
        </w:rPr>
        <w:footnoteReference w:id="1"/>
      </w:r>
      <w:r w:rsidRPr="00725AB2">
        <w:rPr>
          <w:b/>
          <w:color w:val="000000"/>
        </w:rPr>
        <w:t xml:space="preserve"> </w:t>
      </w:r>
      <w:r w:rsidRPr="00725AB2">
        <w:rPr>
          <w:b/>
          <w:color w:val="000000"/>
        </w:rPr>
        <w:tab/>
      </w:r>
      <w:r w:rsidRPr="00725AB2">
        <w:rPr>
          <w:b/>
          <w:color w:val="000000"/>
        </w:rPr>
        <w:tab/>
      </w:r>
      <w:r w:rsidRPr="00CF5098">
        <w:rPr>
          <w:b/>
          <w:color w:val="000000"/>
          <w:u w:val="single"/>
        </w:rPr>
        <w:t xml:space="preserve">Final </w:t>
      </w:r>
      <w:r>
        <w:rPr>
          <w:b/>
          <w:color w:val="000000"/>
          <w:u w:val="single"/>
        </w:rPr>
        <w:t>Failure</w:t>
      </w:r>
      <w:r w:rsidRPr="00CF5098">
        <w:rPr>
          <w:b/>
          <w:color w:val="000000"/>
          <w:u w:val="single"/>
        </w:rPr>
        <w:t xml:space="preserve"> Rate</w:t>
      </w:r>
      <w:r>
        <w:rPr>
          <w:rStyle w:val="FootnoteReference"/>
          <w:b/>
          <w:color w:val="000000"/>
          <w:u w:val="single"/>
        </w:rPr>
        <w:footnoteReference w:id="2"/>
      </w:r>
      <w:r>
        <w:rPr>
          <w:b/>
          <w:color w:val="000000"/>
          <w:u w:val="single"/>
        </w:rPr>
        <w:t xml:space="preserve"> </w:t>
      </w:r>
      <w:r w:rsidRPr="00CF5098">
        <w:rPr>
          <w:b/>
          <w:color w:val="000000"/>
        </w:rPr>
        <w:tab/>
      </w:r>
    </w:p>
    <w:p w:rsidR="00FD1554" w:rsidRPr="00CF5098" w:rsidRDefault="00FD1554" w:rsidP="00FD1554">
      <w:pPr>
        <w:spacing w:before="100" w:beforeAutospacing="1" w:after="100" w:afterAutospacing="1"/>
        <w:rPr>
          <w:color w:val="000000"/>
        </w:rPr>
      </w:pPr>
      <w:r w:rsidRPr="00CF5098">
        <w:rPr>
          <w:color w:val="000000"/>
        </w:rPr>
        <w:t>Credit Suisse</w:t>
      </w:r>
      <w:r w:rsidRPr="00CF5098">
        <w:rPr>
          <w:color w:val="000000"/>
        </w:rPr>
        <w:tab/>
      </w:r>
      <w:r w:rsidRPr="00CF5098">
        <w:rPr>
          <w:color w:val="000000"/>
        </w:rPr>
        <w:tab/>
        <w:t>56,306</w:t>
      </w:r>
      <w:r w:rsidRPr="00CF5098">
        <w:rPr>
          <w:color w:val="000000"/>
        </w:rPr>
        <w:tab/>
      </w:r>
      <w:r w:rsidRPr="00CF5098">
        <w:rPr>
          <w:color w:val="000000"/>
        </w:rPr>
        <w:tab/>
      </w:r>
      <w:r w:rsidRPr="00CF5098">
        <w:rPr>
          <w:color w:val="000000"/>
        </w:rPr>
        <w:tab/>
      </w:r>
      <w:r w:rsidRPr="00CF5098">
        <w:rPr>
          <w:color w:val="000000"/>
        </w:rPr>
        <w:tab/>
      </w:r>
      <w:r>
        <w:rPr>
          <w:color w:val="000000"/>
        </w:rPr>
        <w:t>33%</w:t>
      </w:r>
      <w:r w:rsidRPr="00CF5098">
        <w:rPr>
          <w:color w:val="000000"/>
        </w:rPr>
        <w:tab/>
      </w:r>
      <w:r w:rsidRPr="00CF5098">
        <w:rPr>
          <w:color w:val="000000"/>
        </w:rPr>
        <w:tab/>
      </w:r>
      <w:r w:rsidRPr="00CF5098">
        <w:rPr>
          <w:color w:val="000000"/>
        </w:rPr>
        <w:tab/>
      </w:r>
      <w:r>
        <w:rPr>
          <w:color w:val="000000"/>
        </w:rPr>
        <w:t>21</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Citigroup</w:t>
      </w:r>
      <w:r w:rsidRPr="00CF5098">
        <w:rPr>
          <w:color w:val="000000"/>
        </w:rPr>
        <w:tab/>
      </w:r>
      <w:r w:rsidRPr="00CF5098">
        <w:rPr>
          <w:color w:val="000000"/>
        </w:rPr>
        <w:tab/>
        <w:t>6,205</w:t>
      </w:r>
      <w:r w:rsidRPr="00CF5098">
        <w:rPr>
          <w:color w:val="000000"/>
        </w:rPr>
        <w:tab/>
      </w:r>
      <w:r w:rsidRPr="00CF5098">
        <w:rPr>
          <w:color w:val="000000"/>
        </w:rPr>
        <w:tab/>
      </w:r>
      <w:r w:rsidRPr="00CF5098">
        <w:rPr>
          <w:color w:val="000000"/>
        </w:rPr>
        <w:tab/>
      </w:r>
      <w:r w:rsidRPr="00CF5098">
        <w:rPr>
          <w:color w:val="000000"/>
        </w:rPr>
        <w:tab/>
      </w:r>
      <w:r>
        <w:rPr>
          <w:color w:val="000000"/>
        </w:rPr>
        <w:t>31</w:t>
      </w:r>
      <w:r w:rsidRPr="00CF5098">
        <w:rPr>
          <w:color w:val="000000"/>
        </w:rPr>
        <w:t>%</w:t>
      </w:r>
      <w:r w:rsidRPr="00CF5098">
        <w:rPr>
          <w:color w:val="000000"/>
        </w:rPr>
        <w:tab/>
      </w:r>
      <w:r w:rsidRPr="00CF5098">
        <w:rPr>
          <w:color w:val="000000"/>
        </w:rPr>
        <w:tab/>
      </w:r>
      <w:r w:rsidRPr="00CF5098">
        <w:rPr>
          <w:color w:val="000000"/>
        </w:rPr>
        <w:tab/>
      </w:r>
      <w:r>
        <w:rPr>
          <w:color w:val="000000"/>
        </w:rPr>
        <w:t>29</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Freddie Mac</w:t>
      </w:r>
      <w:r w:rsidRPr="00CF5098">
        <w:rPr>
          <w:color w:val="000000"/>
        </w:rPr>
        <w:tab/>
      </w:r>
      <w:r w:rsidRPr="00CF5098">
        <w:rPr>
          <w:color w:val="000000"/>
        </w:rPr>
        <w:tab/>
        <w:t>2,985</w:t>
      </w:r>
      <w:r w:rsidRPr="00CF5098">
        <w:rPr>
          <w:color w:val="000000"/>
        </w:rPr>
        <w:tab/>
      </w:r>
      <w:r w:rsidRPr="00CF5098">
        <w:rPr>
          <w:color w:val="000000"/>
        </w:rPr>
        <w:tab/>
      </w:r>
      <w:r w:rsidRPr="00CF5098">
        <w:rPr>
          <w:color w:val="000000"/>
        </w:rPr>
        <w:tab/>
      </w:r>
      <w:r w:rsidRPr="00CF5098">
        <w:rPr>
          <w:color w:val="000000"/>
        </w:rPr>
        <w:tab/>
      </w:r>
      <w:r>
        <w:rPr>
          <w:color w:val="000000"/>
        </w:rPr>
        <w:t>60</w:t>
      </w:r>
      <w:r w:rsidRPr="00CF5098">
        <w:rPr>
          <w:color w:val="000000"/>
        </w:rPr>
        <w:t>%</w:t>
      </w:r>
      <w:r w:rsidRPr="00CF5098">
        <w:rPr>
          <w:color w:val="000000"/>
        </w:rPr>
        <w:tab/>
      </w:r>
      <w:r w:rsidRPr="00CF5098">
        <w:rPr>
          <w:color w:val="000000"/>
        </w:rPr>
        <w:tab/>
      </w:r>
      <w:r w:rsidRPr="00CF5098">
        <w:rPr>
          <w:color w:val="000000"/>
        </w:rPr>
        <w:tab/>
      </w:r>
      <w:r>
        <w:rPr>
          <w:color w:val="000000"/>
        </w:rPr>
        <w:t>14</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Goldman</w:t>
      </w:r>
      <w:r w:rsidRPr="00CF5098">
        <w:rPr>
          <w:color w:val="000000"/>
        </w:rPr>
        <w:tab/>
      </w:r>
      <w:r w:rsidRPr="00CF5098">
        <w:rPr>
          <w:color w:val="000000"/>
        </w:rPr>
        <w:tab/>
        <w:t>111,999</w:t>
      </w:r>
      <w:r w:rsidRPr="00CF5098">
        <w:rPr>
          <w:color w:val="000000"/>
        </w:rPr>
        <w:tab/>
      </w:r>
      <w:r w:rsidRPr="00CF5098">
        <w:rPr>
          <w:color w:val="000000"/>
        </w:rPr>
        <w:tab/>
      </w:r>
      <w:r w:rsidRPr="00CF5098">
        <w:rPr>
          <w:color w:val="000000"/>
        </w:rPr>
        <w:tab/>
      </w:r>
      <w:r>
        <w:rPr>
          <w:color w:val="000000"/>
        </w:rPr>
        <w:t>29</w:t>
      </w:r>
      <w:r w:rsidRPr="00CF5098">
        <w:rPr>
          <w:color w:val="000000"/>
        </w:rPr>
        <w:t>%</w:t>
      </w:r>
      <w:r w:rsidRPr="00CF5098">
        <w:rPr>
          <w:color w:val="000000"/>
        </w:rPr>
        <w:tab/>
      </w:r>
      <w:r w:rsidRPr="00CF5098">
        <w:rPr>
          <w:color w:val="000000"/>
        </w:rPr>
        <w:tab/>
      </w:r>
      <w:r w:rsidRPr="00CF5098">
        <w:rPr>
          <w:color w:val="000000"/>
        </w:rPr>
        <w:tab/>
      </w:r>
      <w:r>
        <w:rPr>
          <w:color w:val="000000"/>
        </w:rPr>
        <w:t>16</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JPMorgan</w:t>
      </w:r>
      <w:r w:rsidRPr="00CF5098">
        <w:rPr>
          <w:color w:val="000000"/>
        </w:rPr>
        <w:tab/>
      </w:r>
      <w:r w:rsidRPr="00CF5098">
        <w:rPr>
          <w:color w:val="000000"/>
        </w:rPr>
        <w:tab/>
        <w:t>23,668</w:t>
      </w:r>
      <w:r w:rsidRPr="00CF5098">
        <w:rPr>
          <w:color w:val="000000"/>
        </w:rPr>
        <w:tab/>
      </w:r>
      <w:r w:rsidRPr="00CF5098">
        <w:rPr>
          <w:color w:val="000000"/>
        </w:rPr>
        <w:tab/>
      </w:r>
      <w:r w:rsidRPr="00CF5098">
        <w:rPr>
          <w:color w:val="000000"/>
        </w:rPr>
        <w:tab/>
      </w:r>
      <w:r w:rsidRPr="00CF5098">
        <w:rPr>
          <w:color w:val="000000"/>
        </w:rPr>
        <w:tab/>
      </w:r>
      <w:r>
        <w:rPr>
          <w:color w:val="000000"/>
        </w:rPr>
        <w:t>51</w:t>
      </w:r>
      <w:r w:rsidRPr="00CF5098">
        <w:rPr>
          <w:color w:val="000000"/>
        </w:rPr>
        <w:t>%</w:t>
      </w:r>
      <w:r w:rsidRPr="00CF5098">
        <w:rPr>
          <w:color w:val="000000"/>
        </w:rPr>
        <w:tab/>
      </w:r>
      <w:r w:rsidRPr="00CF5098">
        <w:rPr>
          <w:color w:val="000000"/>
        </w:rPr>
        <w:tab/>
      </w:r>
      <w:r w:rsidRPr="00CF5098">
        <w:rPr>
          <w:color w:val="000000"/>
        </w:rPr>
        <w:tab/>
      </w:r>
      <w:r>
        <w:rPr>
          <w:color w:val="000000"/>
        </w:rPr>
        <w:t>13</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Lehman</w:t>
      </w:r>
      <w:r w:rsidRPr="00CF5098">
        <w:rPr>
          <w:color w:val="000000"/>
        </w:rPr>
        <w:tab/>
      </w:r>
      <w:r w:rsidRPr="00CF5098">
        <w:rPr>
          <w:color w:val="000000"/>
        </w:rPr>
        <w:tab/>
        <w:t>70,137</w:t>
      </w:r>
      <w:r w:rsidRPr="00CF5098">
        <w:rPr>
          <w:color w:val="000000"/>
        </w:rPr>
        <w:tab/>
      </w:r>
      <w:r w:rsidRPr="00CF5098">
        <w:rPr>
          <w:color w:val="000000"/>
        </w:rPr>
        <w:tab/>
      </w:r>
      <w:r w:rsidRPr="00CF5098">
        <w:rPr>
          <w:color w:val="000000"/>
        </w:rPr>
        <w:tab/>
      </w:r>
      <w:r w:rsidRPr="00CF5098">
        <w:rPr>
          <w:color w:val="000000"/>
        </w:rPr>
        <w:tab/>
      </w:r>
      <w:r>
        <w:rPr>
          <w:color w:val="000000"/>
        </w:rPr>
        <w:t>37</w:t>
      </w:r>
      <w:r w:rsidRPr="00CF5098">
        <w:rPr>
          <w:color w:val="000000"/>
        </w:rPr>
        <w:t>%</w:t>
      </w:r>
      <w:r w:rsidRPr="00CF5098">
        <w:rPr>
          <w:color w:val="000000"/>
        </w:rPr>
        <w:tab/>
      </w:r>
      <w:r w:rsidRPr="00CF5098">
        <w:rPr>
          <w:color w:val="000000"/>
        </w:rPr>
        <w:tab/>
      </w:r>
      <w:r w:rsidRPr="00CF5098">
        <w:rPr>
          <w:color w:val="000000"/>
        </w:rPr>
        <w:tab/>
      </w:r>
      <w:r>
        <w:rPr>
          <w:color w:val="000000"/>
        </w:rPr>
        <w:t>16</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Merrill</w:t>
      </w:r>
      <w:r w:rsidRPr="00CF5098">
        <w:rPr>
          <w:color w:val="000000"/>
        </w:rPr>
        <w:tab/>
      </w:r>
      <w:r w:rsidRPr="00CF5098">
        <w:rPr>
          <w:color w:val="000000"/>
        </w:rPr>
        <w:tab/>
      </w:r>
      <w:r w:rsidRPr="00CF5098">
        <w:rPr>
          <w:color w:val="000000"/>
        </w:rPr>
        <w:tab/>
        <w:t>55,529</w:t>
      </w:r>
      <w:r w:rsidRPr="00CF5098">
        <w:rPr>
          <w:color w:val="000000"/>
        </w:rPr>
        <w:tab/>
      </w:r>
      <w:r w:rsidRPr="00CF5098">
        <w:rPr>
          <w:color w:val="000000"/>
        </w:rPr>
        <w:tab/>
      </w:r>
      <w:r w:rsidRPr="00CF5098">
        <w:rPr>
          <w:color w:val="000000"/>
        </w:rPr>
        <w:tab/>
      </w:r>
      <w:r w:rsidRPr="00CF5098">
        <w:rPr>
          <w:color w:val="000000"/>
        </w:rPr>
        <w:tab/>
      </w:r>
      <w:r>
        <w:rPr>
          <w:color w:val="000000"/>
        </w:rPr>
        <w:t>32</w:t>
      </w:r>
      <w:r w:rsidRPr="00CF5098">
        <w:rPr>
          <w:color w:val="000000"/>
        </w:rPr>
        <w:t>%</w:t>
      </w:r>
      <w:r w:rsidRPr="00CF5098">
        <w:rPr>
          <w:color w:val="000000"/>
        </w:rPr>
        <w:tab/>
      </w:r>
      <w:r w:rsidRPr="00CF5098">
        <w:rPr>
          <w:color w:val="000000"/>
        </w:rPr>
        <w:tab/>
      </w:r>
      <w:r w:rsidRPr="00CF5098">
        <w:rPr>
          <w:color w:val="000000"/>
        </w:rPr>
        <w:tab/>
      </w:r>
      <w:r>
        <w:rPr>
          <w:color w:val="000000"/>
        </w:rPr>
        <w:t>16</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Societe Generale</w:t>
      </w:r>
      <w:r w:rsidRPr="00CF5098">
        <w:rPr>
          <w:color w:val="000000"/>
        </w:rPr>
        <w:tab/>
        <w:t>4,781</w:t>
      </w:r>
      <w:r w:rsidRPr="00CF5098">
        <w:rPr>
          <w:color w:val="000000"/>
        </w:rPr>
        <w:tab/>
      </w:r>
      <w:r w:rsidRPr="00CF5098">
        <w:rPr>
          <w:color w:val="000000"/>
        </w:rPr>
        <w:tab/>
      </w:r>
      <w:r w:rsidRPr="00CF5098">
        <w:rPr>
          <w:color w:val="000000"/>
        </w:rPr>
        <w:tab/>
      </w:r>
      <w:r w:rsidRPr="00CF5098">
        <w:rPr>
          <w:color w:val="000000"/>
        </w:rPr>
        <w:tab/>
      </w:r>
      <w:r>
        <w:rPr>
          <w:color w:val="000000"/>
        </w:rPr>
        <w:t>33</w:t>
      </w:r>
      <w:r w:rsidRPr="00CF5098">
        <w:rPr>
          <w:color w:val="000000"/>
        </w:rPr>
        <w:t>%</w:t>
      </w:r>
      <w:r w:rsidRPr="00CF5098">
        <w:rPr>
          <w:color w:val="000000"/>
        </w:rPr>
        <w:tab/>
      </w:r>
      <w:r w:rsidRPr="00CF5098">
        <w:rPr>
          <w:color w:val="000000"/>
        </w:rPr>
        <w:tab/>
      </w:r>
      <w:r w:rsidRPr="00CF5098">
        <w:rPr>
          <w:color w:val="000000"/>
        </w:rPr>
        <w:tab/>
      </w:r>
      <w:r>
        <w:rPr>
          <w:color w:val="000000"/>
        </w:rPr>
        <w:t>31</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UBS</w:t>
      </w:r>
      <w:r w:rsidRPr="00CF5098">
        <w:rPr>
          <w:color w:val="000000"/>
        </w:rPr>
        <w:tab/>
      </w:r>
      <w:r w:rsidRPr="00CF5098">
        <w:rPr>
          <w:color w:val="000000"/>
        </w:rPr>
        <w:tab/>
      </w:r>
      <w:r w:rsidRPr="00CF5098">
        <w:rPr>
          <w:color w:val="000000"/>
        </w:rPr>
        <w:tab/>
        <w:t>27,618</w:t>
      </w:r>
      <w:r w:rsidRPr="00CF5098">
        <w:rPr>
          <w:color w:val="000000"/>
        </w:rPr>
        <w:tab/>
      </w:r>
      <w:r w:rsidRPr="00CF5098">
        <w:rPr>
          <w:color w:val="000000"/>
        </w:rPr>
        <w:tab/>
      </w:r>
      <w:r w:rsidRPr="00CF5098">
        <w:rPr>
          <w:color w:val="000000"/>
        </w:rPr>
        <w:tab/>
      </w:r>
      <w:r w:rsidRPr="00CF5098">
        <w:rPr>
          <w:color w:val="000000"/>
        </w:rPr>
        <w:tab/>
      </w:r>
      <w:r>
        <w:rPr>
          <w:color w:val="000000"/>
        </w:rPr>
        <w:t>33</w:t>
      </w:r>
      <w:r w:rsidRPr="00CF5098">
        <w:rPr>
          <w:color w:val="000000"/>
        </w:rPr>
        <w:t>%</w:t>
      </w:r>
      <w:r w:rsidRPr="00CF5098">
        <w:rPr>
          <w:color w:val="000000"/>
        </w:rPr>
        <w:tab/>
      </w:r>
      <w:r w:rsidRPr="00CF5098">
        <w:rPr>
          <w:color w:val="000000"/>
        </w:rPr>
        <w:tab/>
      </w:r>
      <w:r w:rsidRPr="00CF5098">
        <w:rPr>
          <w:color w:val="000000"/>
        </w:rPr>
        <w:tab/>
      </w:r>
      <w:r>
        <w:rPr>
          <w:color w:val="000000"/>
        </w:rPr>
        <w:t>1</w:t>
      </w:r>
      <w:r w:rsidRPr="00CF5098">
        <w:rPr>
          <w:color w:val="000000"/>
        </w:rPr>
        <w:t>3%</w:t>
      </w:r>
    </w:p>
    <w:p w:rsidR="00FD1554" w:rsidRPr="00CF5098" w:rsidRDefault="00FD1554" w:rsidP="00FD1554">
      <w:pPr>
        <w:spacing w:before="100" w:beforeAutospacing="1" w:after="100" w:afterAutospacing="1"/>
        <w:rPr>
          <w:color w:val="000000"/>
        </w:rPr>
      </w:pPr>
      <w:r w:rsidRPr="00CF5098">
        <w:rPr>
          <w:color w:val="000000"/>
        </w:rPr>
        <w:t>WaMu</w:t>
      </w:r>
      <w:r w:rsidRPr="00CF5098">
        <w:rPr>
          <w:color w:val="000000"/>
        </w:rPr>
        <w:tab/>
      </w:r>
      <w:r w:rsidRPr="00CF5098">
        <w:rPr>
          <w:color w:val="000000"/>
        </w:rPr>
        <w:tab/>
      </w:r>
      <w:r w:rsidRPr="00CF5098">
        <w:rPr>
          <w:color w:val="000000"/>
        </w:rPr>
        <w:tab/>
        <w:t>35,008</w:t>
      </w:r>
      <w:r w:rsidRPr="00CF5098">
        <w:rPr>
          <w:color w:val="000000"/>
        </w:rPr>
        <w:tab/>
      </w:r>
      <w:r w:rsidRPr="00CF5098">
        <w:rPr>
          <w:color w:val="000000"/>
        </w:rPr>
        <w:tab/>
      </w:r>
      <w:r w:rsidRPr="00CF5098">
        <w:rPr>
          <w:color w:val="000000"/>
        </w:rPr>
        <w:tab/>
      </w:r>
      <w:r w:rsidRPr="00CF5098">
        <w:rPr>
          <w:color w:val="000000"/>
        </w:rPr>
        <w:tab/>
      </w:r>
      <w:r>
        <w:rPr>
          <w:color w:val="000000"/>
        </w:rPr>
        <w:t>29</w:t>
      </w:r>
      <w:r w:rsidRPr="00CF5098">
        <w:rPr>
          <w:color w:val="000000"/>
        </w:rPr>
        <w:t>%</w:t>
      </w:r>
      <w:r w:rsidRPr="00CF5098">
        <w:rPr>
          <w:color w:val="000000"/>
        </w:rPr>
        <w:tab/>
      </w:r>
      <w:r w:rsidRPr="00CF5098">
        <w:rPr>
          <w:color w:val="000000"/>
        </w:rPr>
        <w:tab/>
      </w:r>
      <w:r w:rsidRPr="00CF5098">
        <w:rPr>
          <w:color w:val="000000"/>
        </w:rPr>
        <w:tab/>
      </w:r>
      <w:r>
        <w:rPr>
          <w:color w:val="000000"/>
        </w:rPr>
        <w:t>19</w:t>
      </w:r>
      <w:r w:rsidRPr="00CF5098">
        <w:rPr>
          <w:color w:val="000000"/>
        </w:rPr>
        <w:t>%</w:t>
      </w:r>
      <w:r w:rsidRPr="00CF5098">
        <w:rPr>
          <w:color w:val="000000"/>
          <w:vertAlign w:val="superscript"/>
        </w:rPr>
        <w:footnoteReference w:id="3"/>
      </w:r>
    </w:p>
    <w:p w:rsidR="00FD1554" w:rsidRDefault="00FD1554" w:rsidP="00FD1554">
      <w:pPr>
        <w:spacing w:before="100" w:beforeAutospacing="1" w:after="100" w:afterAutospacing="1"/>
        <w:rPr>
          <w:color w:val="000000"/>
        </w:rPr>
      </w:pPr>
      <w:r w:rsidRPr="00CF5098">
        <w:rPr>
          <w:color w:val="000000"/>
        </w:rPr>
        <w:t xml:space="preserve">The large percentage of mortgages in significant samples </w:t>
      </w:r>
      <w:r>
        <w:rPr>
          <w:color w:val="000000"/>
        </w:rPr>
        <w:t xml:space="preserve">that </w:t>
      </w:r>
      <w:r w:rsidRPr="00CF5098">
        <w:rPr>
          <w:color w:val="000000"/>
        </w:rPr>
        <w:t xml:space="preserve">did not meet </w:t>
      </w:r>
      <w:r>
        <w:rPr>
          <w:color w:val="000000"/>
        </w:rPr>
        <w:t xml:space="preserve">initial </w:t>
      </w:r>
      <w:r w:rsidRPr="00CF5098">
        <w:rPr>
          <w:color w:val="000000"/>
        </w:rPr>
        <w:t>underwriting standards appears to be material because there is “a substantial likelihood that the disclosure [of this information] would have been viewed by the reasonable investor as having significantly altered the ‘total mix’ of information made available.”</w:t>
      </w:r>
      <w:r w:rsidRPr="00CF5098">
        <w:rPr>
          <w:color w:val="000000"/>
          <w:vertAlign w:val="superscript"/>
        </w:rPr>
        <w:footnoteReference w:id="4"/>
      </w:r>
      <w:r w:rsidRPr="00CF5098">
        <w:rPr>
          <w:color w:val="000000"/>
        </w:rPr>
        <w:t xml:space="preserve"> </w:t>
      </w:r>
      <w:r>
        <w:rPr>
          <w:color w:val="000000"/>
        </w:rPr>
        <w:t>Specifically, one would assume that the fact that a significant percentage of mortgages in a sample of a population of mortgages being packaged into an RMBS failed to meet underwriting criteria would be useful in predicting the performance of the RMBS.  T</w:t>
      </w:r>
      <w:r w:rsidRPr="00CF5098">
        <w:rPr>
          <w:color w:val="000000"/>
        </w:rPr>
        <w:t xml:space="preserve">he failure to disclose this information potentially violates both the </w:t>
      </w:r>
      <w:r w:rsidRPr="00CF5098">
        <w:rPr>
          <w:color w:val="000000"/>
        </w:rPr>
        <w:lastRenderedPageBreak/>
        <w:t>1933 and 1934 Securities Acts. In addition, depending on the means of communications employed, material omissions may also constitute mail fraud or wire fraud.</w:t>
      </w:r>
    </w:p>
    <w:p w:rsidR="00FD1554" w:rsidRPr="00CF5098" w:rsidRDefault="00FD1554" w:rsidP="00FD1554">
      <w:pPr>
        <w:spacing w:before="100" w:beforeAutospacing="1" w:after="100" w:afterAutospacing="1"/>
        <w:ind w:firstLine="720"/>
        <w:outlineLvl w:val="0"/>
        <w:rPr>
          <w:b/>
          <w:color w:val="000000"/>
          <w:u w:val="single"/>
        </w:rPr>
      </w:pPr>
      <w:r>
        <w:rPr>
          <w:b/>
          <w:color w:val="000000"/>
        </w:rPr>
        <w:t>2</w:t>
      </w:r>
      <w:r w:rsidRPr="00CF5098">
        <w:rPr>
          <w:b/>
          <w:color w:val="000000"/>
        </w:rPr>
        <w:t>.</w:t>
      </w:r>
      <w:r w:rsidRPr="00CF5098">
        <w:rPr>
          <w:b/>
          <w:color w:val="000000"/>
        </w:rPr>
        <w:tab/>
      </w:r>
      <w:r w:rsidRPr="00CF5098">
        <w:rPr>
          <w:b/>
          <w:color w:val="000000"/>
          <w:u w:val="single"/>
        </w:rPr>
        <w:t>Potential Accounting Fraud and False Certifications: Fannie Mae</w:t>
      </w:r>
    </w:p>
    <w:p w:rsidR="00FD1554" w:rsidRPr="00CF5098" w:rsidRDefault="00FD1554" w:rsidP="00FD1554">
      <w:pPr>
        <w:spacing w:before="100" w:beforeAutospacing="1" w:after="100" w:afterAutospacing="1"/>
        <w:rPr>
          <w:color w:val="000000"/>
        </w:rPr>
      </w:pPr>
      <w:r w:rsidRPr="00CF5098">
        <w:rPr>
          <w:color w:val="000000"/>
        </w:rPr>
        <w:t xml:space="preserve">A March 8, 2008 e-mail from a White House economic analyst </w:t>
      </w:r>
      <w:r>
        <w:rPr>
          <w:color w:val="000000"/>
        </w:rPr>
        <w:t xml:space="preserve">Jason Thomas </w:t>
      </w:r>
      <w:r w:rsidRPr="00CF5098">
        <w:rPr>
          <w:color w:val="000000"/>
        </w:rPr>
        <w:t xml:space="preserve">to </w:t>
      </w:r>
      <w:r>
        <w:rPr>
          <w:color w:val="000000"/>
        </w:rPr>
        <w:t>U</w:t>
      </w:r>
      <w:r w:rsidRPr="00CF5098">
        <w:rPr>
          <w:color w:val="000000"/>
        </w:rPr>
        <w:t xml:space="preserve">ndersecretary of the Treasury </w:t>
      </w:r>
      <w:r>
        <w:rPr>
          <w:color w:val="000000"/>
        </w:rPr>
        <w:t>for Domestic Finance Robert Steel attached a report that sta</w:t>
      </w:r>
      <w:r w:rsidRPr="00CF5098">
        <w:rPr>
          <w:color w:val="000000"/>
        </w:rPr>
        <w:t>ted:</w:t>
      </w:r>
    </w:p>
    <w:p w:rsidR="00FD1554" w:rsidRPr="00CF5098" w:rsidRDefault="00FD1554" w:rsidP="00FD1554">
      <w:pPr>
        <w:spacing w:before="100" w:beforeAutospacing="1" w:after="100" w:afterAutospacing="1"/>
        <w:ind w:left="720"/>
        <w:rPr>
          <w:color w:val="000000"/>
        </w:rPr>
      </w:pPr>
      <w:r w:rsidRPr="00CF5098">
        <w:rPr>
          <w:color w:val="000000"/>
        </w:rPr>
        <w:t>Any realistic assessment of Fannie Mae’s capital position would show the company is currently insolvent.  Accounting fraud has resulted in several asset categories (non-agency securities, deferred tax assets, low income partnership investment) being overstated, while the guarantee liability is understated.  These accounting shenanigans add up to billions of exaggerated net worth.</w:t>
      </w:r>
    </w:p>
    <w:p w:rsidR="00FD1554" w:rsidRDefault="00FD1554" w:rsidP="00FD1554">
      <w:pPr>
        <w:spacing w:before="100" w:beforeAutospacing="1" w:after="100" w:afterAutospacing="1"/>
        <w:rPr>
          <w:color w:val="000000"/>
        </w:rPr>
      </w:pPr>
      <w:r w:rsidRPr="00CF5098">
        <w:rPr>
          <w:color w:val="000000"/>
        </w:rPr>
        <w:t xml:space="preserve">Subsequent findings by the Federal Housing Finance Agency (“FHFA”), the Office of the Comptroller of the Currency (“OCC”), and the Federal Reserve </w:t>
      </w:r>
      <w:r>
        <w:rPr>
          <w:color w:val="000000"/>
        </w:rPr>
        <w:t xml:space="preserve">all </w:t>
      </w:r>
      <w:r w:rsidRPr="00CF5098">
        <w:rPr>
          <w:color w:val="000000"/>
        </w:rPr>
        <w:t>indicate</w:t>
      </w:r>
      <w:r>
        <w:rPr>
          <w:color w:val="000000"/>
        </w:rPr>
        <w:t>,</w:t>
      </w:r>
      <w:r w:rsidRPr="00CF5098">
        <w:rPr>
          <w:color w:val="000000"/>
        </w:rPr>
        <w:t xml:space="preserve"> </w:t>
      </w:r>
      <w:r>
        <w:rPr>
          <w:color w:val="000000"/>
        </w:rPr>
        <w:t xml:space="preserve">(during 2007 and 2008), </w:t>
      </w:r>
      <w:r w:rsidRPr="00CF5098">
        <w:rPr>
          <w:color w:val="000000"/>
        </w:rPr>
        <w:t>that Fannie Mae may have overstated assets, earnings and capital through various accounting improprieties.  FHFA detailed the overuse of historic losses against potential gains as part of the firm’s capital.</w:t>
      </w:r>
      <w:r w:rsidRPr="00CF5098">
        <w:rPr>
          <w:color w:val="000000"/>
          <w:vertAlign w:val="superscript"/>
        </w:rPr>
        <w:footnoteReference w:id="5"/>
      </w:r>
      <w:r w:rsidRPr="00CF5098">
        <w:rPr>
          <w:color w:val="000000"/>
        </w:rPr>
        <w:t xml:space="preserve">  It also found that liabilities had increased dramatically, to the point that the firm was found to be “in an unsafe or unsound condition to transact business.”</w:t>
      </w:r>
      <w:r w:rsidRPr="00CF5098">
        <w:rPr>
          <w:color w:val="000000"/>
          <w:vertAlign w:val="superscript"/>
        </w:rPr>
        <w:footnoteReference w:id="6"/>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The OCC found that Fannie was not fully recognizing losses associated with its HomeSaver program.</w:t>
      </w:r>
      <w:r w:rsidRPr="00CF5098">
        <w:rPr>
          <w:color w:val="000000"/>
          <w:vertAlign w:val="superscript"/>
        </w:rPr>
        <w:footnoteReference w:id="7"/>
      </w:r>
      <w:r w:rsidRPr="00CF5098">
        <w:rPr>
          <w:color w:val="000000"/>
        </w:rPr>
        <w:t xml:space="preserve">  It also </w:t>
      </w:r>
      <w:r>
        <w:rPr>
          <w:color w:val="000000"/>
        </w:rPr>
        <w:t xml:space="preserve">criticized </w:t>
      </w:r>
      <w:r w:rsidRPr="00CF5098">
        <w:rPr>
          <w:color w:val="000000"/>
        </w:rPr>
        <w:t xml:space="preserve">Fannie for using 2003 loss data to estimate then-current market values of its portfolio of subprime securities.  We understand that allegations of inflating assets and understating liabilities are </w:t>
      </w:r>
      <w:r>
        <w:rPr>
          <w:color w:val="000000"/>
        </w:rPr>
        <w:t xml:space="preserve">currently </w:t>
      </w:r>
      <w:r w:rsidRPr="00CF5098">
        <w:rPr>
          <w:color w:val="000000"/>
        </w:rPr>
        <w:t>under investigation by the Securities and Exchange Commission and the U.S. Department of Justice.</w:t>
      </w:r>
    </w:p>
    <w:p w:rsidR="00FD1554" w:rsidRPr="00CF5098" w:rsidRDefault="00FD1554" w:rsidP="00FD1554">
      <w:pPr>
        <w:spacing w:before="100" w:beforeAutospacing="1" w:after="100" w:afterAutospacing="1"/>
        <w:rPr>
          <w:color w:val="000000"/>
        </w:rPr>
      </w:pPr>
      <w:r w:rsidRPr="00CF5098">
        <w:rPr>
          <w:color w:val="000000"/>
        </w:rPr>
        <w:t xml:space="preserve">Failure to accurately report financial results could violate a number of securities laws, including sections 11 and 12 of the 1933 Act and section 10b-5 of the 1934 Act.  During 2008, Fannie raised new capital.  As a consequence, it may have also violated section 11 of the 1933 Act.  </w:t>
      </w:r>
      <w:r>
        <w:rPr>
          <w:color w:val="000000"/>
        </w:rPr>
        <w:t>However, it should be noted</w:t>
      </w:r>
      <w:r w:rsidRPr="00CF5098">
        <w:rPr>
          <w:color w:val="000000"/>
        </w:rPr>
        <w:t xml:space="preserve"> that the company’s auditors, Deloitte and Touche LLP, signed off on its 2007 financial statements, and</w:t>
      </w:r>
      <w:r>
        <w:rPr>
          <w:color w:val="000000"/>
        </w:rPr>
        <w:t xml:space="preserve"> that</w:t>
      </w:r>
      <w:r w:rsidRPr="00CF5098">
        <w:rPr>
          <w:color w:val="000000"/>
        </w:rPr>
        <w:t xml:space="preserve"> Fannie has </w:t>
      </w:r>
      <w:r>
        <w:rPr>
          <w:color w:val="000000"/>
        </w:rPr>
        <w:t xml:space="preserve">still </w:t>
      </w:r>
      <w:r w:rsidRPr="00CF5098">
        <w:rPr>
          <w:color w:val="000000"/>
        </w:rPr>
        <w:t>not restated its financial statements</w:t>
      </w:r>
      <w:r>
        <w:rPr>
          <w:color w:val="000000"/>
        </w:rPr>
        <w:t xml:space="preserve"> for that year</w:t>
      </w:r>
      <w:r w:rsidRPr="00CF5098">
        <w:rPr>
          <w:color w:val="000000"/>
        </w:rPr>
        <w:t xml:space="preserve">.  </w:t>
      </w:r>
      <w:r>
        <w:rPr>
          <w:color w:val="000000"/>
        </w:rPr>
        <w:t>The possibility of accounting improprieties</w:t>
      </w:r>
      <w:r w:rsidRPr="00CF5098">
        <w:rPr>
          <w:color w:val="000000"/>
        </w:rPr>
        <w:t xml:space="preserve"> was cited in </w:t>
      </w:r>
      <w:r>
        <w:rPr>
          <w:color w:val="000000"/>
        </w:rPr>
        <w:t>the FCIC’s draft preliminary Fannie</w:t>
      </w:r>
      <w:r w:rsidRPr="00CF5098">
        <w:rPr>
          <w:color w:val="000000"/>
        </w:rPr>
        <w:t xml:space="preserve"> </w:t>
      </w:r>
      <w:r>
        <w:rPr>
          <w:color w:val="000000"/>
        </w:rPr>
        <w:t xml:space="preserve">Mae </w:t>
      </w:r>
      <w:r w:rsidRPr="00CF5098">
        <w:rPr>
          <w:color w:val="000000"/>
        </w:rPr>
        <w:t xml:space="preserve">investigative report as </w:t>
      </w:r>
      <w:r>
        <w:rPr>
          <w:color w:val="000000"/>
        </w:rPr>
        <w:t>a matter warranting</w:t>
      </w:r>
      <w:r w:rsidRPr="00CF5098">
        <w:rPr>
          <w:color w:val="000000"/>
        </w:rPr>
        <w:t xml:space="preserve"> further investigation.</w:t>
      </w:r>
      <w:r w:rsidRPr="00CF5098">
        <w:rPr>
          <w:color w:val="000000"/>
          <w:vertAlign w:val="superscript"/>
        </w:rPr>
        <w:footnoteReference w:id="8"/>
      </w:r>
    </w:p>
    <w:p w:rsidR="00FD1554" w:rsidRPr="00CF5098" w:rsidRDefault="00FD1554" w:rsidP="00FD1554">
      <w:pPr>
        <w:spacing w:before="100" w:beforeAutospacing="1" w:after="100" w:afterAutospacing="1"/>
        <w:rPr>
          <w:color w:val="000000"/>
        </w:rPr>
      </w:pPr>
      <w:r w:rsidRPr="00CF5098">
        <w:rPr>
          <w:color w:val="000000"/>
        </w:rPr>
        <w:t>FHFA’s memorandum supporting conser</w:t>
      </w:r>
      <w:r>
        <w:rPr>
          <w:color w:val="000000"/>
        </w:rPr>
        <w:t xml:space="preserve">vatorship also provides </w:t>
      </w:r>
      <w:r w:rsidRPr="00CF5098">
        <w:rPr>
          <w:color w:val="000000"/>
        </w:rPr>
        <w:t>details about long-time failures of risk management at Fannie Mae.  The memorandum notes that prior government assessments, not provided to the markets, repeatedly warned of significant, systemic risk management problems going back at least to 2005.</w:t>
      </w:r>
      <w:r w:rsidRPr="00CF5098">
        <w:rPr>
          <w:color w:val="000000"/>
          <w:vertAlign w:val="superscript"/>
        </w:rPr>
        <w:footnoteReference w:id="9"/>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lastRenderedPageBreak/>
        <w:t xml:space="preserve">This suggests two potential legal violations.  The first is a failure to disclose accurate information about the state of risk management at Fannie Mae.  Assuming this information is material, this is a violation of 10b-5 of the 1934 Act.  </w:t>
      </w:r>
    </w:p>
    <w:p w:rsidR="00FD1554" w:rsidRPr="00CF5098" w:rsidRDefault="00FD1554" w:rsidP="00FD1554">
      <w:pPr>
        <w:spacing w:before="100" w:beforeAutospacing="1" w:after="100" w:afterAutospacing="1"/>
        <w:rPr>
          <w:color w:val="000000"/>
        </w:rPr>
      </w:pPr>
      <w:r w:rsidRPr="00CF5098">
        <w:rPr>
          <w:color w:val="000000"/>
        </w:rPr>
        <w:t>Second, as with any other publicly traded company, the CEO and CFO of Fannie Mae certified the firm’s annual and quarterly financial statements as disclosing all material information under section 302 of the Sarb</w:t>
      </w:r>
      <w:r>
        <w:rPr>
          <w:color w:val="000000"/>
        </w:rPr>
        <w:t>anes-Oxley Act.  T</w:t>
      </w:r>
      <w:r w:rsidRPr="00CF5098">
        <w:rPr>
          <w:color w:val="000000"/>
        </w:rPr>
        <w:t xml:space="preserve">hese certifications presume that the CEO and CFO have reviewed and put in place adequate risk management systems.  </w:t>
      </w:r>
    </w:p>
    <w:p w:rsidR="00FD1554" w:rsidRPr="00CF5098" w:rsidRDefault="00FD1554" w:rsidP="00FD1554">
      <w:pPr>
        <w:spacing w:before="100" w:beforeAutospacing="1" w:after="100" w:afterAutospacing="1"/>
        <w:ind w:left="1440" w:hanging="720"/>
        <w:outlineLvl w:val="0"/>
        <w:rPr>
          <w:b/>
          <w:color w:val="000000"/>
        </w:rPr>
      </w:pPr>
      <w:r>
        <w:rPr>
          <w:b/>
          <w:color w:val="000000"/>
        </w:rPr>
        <w:t>3</w:t>
      </w:r>
      <w:r w:rsidRPr="00CF5098">
        <w:rPr>
          <w:b/>
          <w:color w:val="000000"/>
        </w:rPr>
        <w:t>.</w:t>
      </w:r>
      <w:r w:rsidRPr="00CF5098">
        <w:rPr>
          <w:b/>
          <w:color w:val="000000"/>
        </w:rPr>
        <w:tab/>
      </w:r>
      <w:r w:rsidRPr="00237D5A">
        <w:rPr>
          <w:b/>
          <w:color w:val="000000"/>
          <w:u w:val="single"/>
        </w:rPr>
        <w:t>Moody’s Appears to Have Made</w:t>
      </w:r>
      <w:r w:rsidRPr="00464A4E">
        <w:rPr>
          <w:b/>
          <w:color w:val="000000"/>
          <w:u w:val="single"/>
        </w:rPr>
        <w:t xml:space="preserve"> Selective Disclosures of Imminent Ratings Downgrades; UBS and Possibly Other Recipients of this Information Fail to Disclose Upcoming Downgrades to Purchasers of Their Securities</w:t>
      </w:r>
      <w:r>
        <w:rPr>
          <w:b/>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 xml:space="preserve">Downgrades of ratings on mortgage-based securities led to drops in their market value.  Internal e-mails between UBS Investment Bank executives indicate that UBS—and </w:t>
      </w:r>
      <w:r>
        <w:rPr>
          <w:color w:val="000000"/>
        </w:rPr>
        <w:t>possibly</w:t>
      </w:r>
      <w:r w:rsidRPr="00CF5098">
        <w:rPr>
          <w:color w:val="000000"/>
        </w:rPr>
        <w:t xml:space="preserve"> other investment banks--received advance notice of potential downgrades by Moody’s.  In a July 5, 2007 e-mail from David Goldstein to Dayna Corlito, the MBS/ABS Manager of </w:t>
      </w:r>
      <w:r>
        <w:rPr>
          <w:color w:val="000000"/>
        </w:rPr>
        <w:t>UBS</w:t>
      </w:r>
      <w:r w:rsidRPr="00CF5098">
        <w:rPr>
          <w:color w:val="000000"/>
        </w:rPr>
        <w:t>, captioned “ABS Subprime &amp; Moody’s downgrades,” Goldstein writes</w:t>
      </w:r>
      <w:r>
        <w:rPr>
          <w:color w:val="000000"/>
        </w:rPr>
        <w:t xml:space="preserve"> (emphasis added)</w:t>
      </w:r>
      <w:r w:rsidRPr="00CF5098">
        <w:rPr>
          <w:color w:val="000000"/>
        </w:rPr>
        <w:t xml:space="preserve">:  </w:t>
      </w:r>
    </w:p>
    <w:p w:rsidR="00FD1554" w:rsidRPr="00CF5098" w:rsidRDefault="00FD1554" w:rsidP="00FD1554">
      <w:pPr>
        <w:spacing w:before="100" w:beforeAutospacing="1" w:after="100" w:afterAutospacing="1"/>
        <w:ind w:left="720"/>
        <w:rPr>
          <w:color w:val="000000"/>
        </w:rPr>
      </w:pPr>
      <w:r w:rsidRPr="00CF5098">
        <w:rPr>
          <w:color w:val="000000"/>
        </w:rPr>
        <w:t>I just got off the phone with David Oman…Apparently they’re meeting w/Moody’s to discuss impacts of ABS subprime downgrades, etc.  Has he been in touch with the Desk?</w:t>
      </w:r>
    </w:p>
    <w:p w:rsidR="00FD1554" w:rsidRPr="00CF5098" w:rsidRDefault="00FD1554" w:rsidP="00FD1554">
      <w:pPr>
        <w:spacing w:before="100" w:beforeAutospacing="1" w:after="100" w:afterAutospacing="1"/>
        <w:ind w:left="720"/>
        <w:rPr>
          <w:color w:val="000000"/>
        </w:rPr>
      </w:pPr>
      <w:r w:rsidRPr="00CF5098">
        <w:rPr>
          <w:color w:val="000000"/>
        </w:rPr>
        <w:t>It sounds like Moody’s is trying to figure out when to start downgrading, and how much damage they’re going to cause—</w:t>
      </w:r>
      <w:r w:rsidRPr="00CF5098">
        <w:rPr>
          <w:b/>
          <w:color w:val="000000"/>
        </w:rPr>
        <w:t>they’re meeting with various investment banks</w:t>
      </w:r>
      <w:r>
        <w:rPr>
          <w:b/>
          <w:color w:val="000000"/>
        </w:rPr>
        <w:t xml:space="preserve"> </w:t>
      </w:r>
    </w:p>
    <w:p w:rsidR="00FD1554" w:rsidRPr="00CF5098" w:rsidRDefault="00FD1554" w:rsidP="00FD1554">
      <w:pPr>
        <w:spacing w:before="100" w:beforeAutospacing="1" w:after="100" w:afterAutospacing="1"/>
        <w:ind w:left="720"/>
        <w:outlineLvl w:val="0"/>
        <w:rPr>
          <w:color w:val="000000"/>
        </w:rPr>
      </w:pPr>
      <w:r w:rsidRPr="00CF5098">
        <w:rPr>
          <w:color w:val="000000"/>
        </w:rPr>
        <w:t>David</w:t>
      </w:r>
      <w:r>
        <w:rPr>
          <w:rStyle w:val="FootnoteReference"/>
          <w:color w:val="000000"/>
        </w:rPr>
        <w:footnoteReference w:id="10"/>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 xml:space="preserve">Five days later on July 10, 2007, Moody’s downgraded 299 CDOs; the market value of these </w:t>
      </w:r>
      <w:r>
        <w:rPr>
          <w:color w:val="000000"/>
        </w:rPr>
        <w:t>securities immediately dropped</w:t>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UBS is alleged to have sold three of its soon to be de-rated CDOs to Pursuit Partners, a hedge fund.  In a Connecticut state court</w:t>
      </w:r>
      <w:r>
        <w:rPr>
          <w:color w:val="000000"/>
        </w:rPr>
        <w:t xml:space="preserve"> action</w:t>
      </w:r>
      <w:r w:rsidRPr="00CF5098">
        <w:rPr>
          <w:color w:val="000000"/>
        </w:rPr>
        <w:t xml:space="preserve">, Pursuit has claimed that UBS violated </w:t>
      </w:r>
      <w:r w:rsidRPr="00CF5098">
        <w:rPr>
          <w:i/>
          <w:color w:val="000000"/>
        </w:rPr>
        <w:t>state</w:t>
      </w:r>
      <w:r w:rsidRPr="00CF5098">
        <w:rPr>
          <w:color w:val="000000"/>
        </w:rPr>
        <w:t xml:space="preserve"> law by continuing to sell these CDOs knowing they were about to be de-rated, which it knew would drastically reduce their value.  In a 2009 trial court decision, UBS was ordered to set aside $35 million because the judge found probable cause that the plaintiff would prevail at trial.</w:t>
      </w:r>
      <w:r w:rsidRPr="00CF5098">
        <w:rPr>
          <w:color w:val="000000"/>
          <w:vertAlign w:val="superscript"/>
        </w:rPr>
        <w:footnoteReference w:id="11"/>
      </w:r>
    </w:p>
    <w:p w:rsidR="00FD1554" w:rsidRDefault="00FD1554" w:rsidP="00FD1554">
      <w:pPr>
        <w:spacing w:before="100" w:beforeAutospacing="1" w:after="100" w:afterAutospacing="1"/>
        <w:rPr>
          <w:color w:val="000000"/>
        </w:rPr>
      </w:pPr>
      <w:r w:rsidRPr="00CF5098">
        <w:rPr>
          <w:color w:val="000000"/>
        </w:rPr>
        <w:t xml:space="preserve">These facts potentially implicate three provisions of federal securities law.  First, </w:t>
      </w:r>
      <w:r>
        <w:rPr>
          <w:color w:val="000000"/>
        </w:rPr>
        <w:t xml:space="preserve">as to UBS and any other firms that were informed of the potential downgrades and failed to disclose the imminent downgrade of their CDOs, </w:t>
      </w:r>
      <w:r w:rsidRPr="00CF5098">
        <w:rPr>
          <w:color w:val="000000"/>
        </w:rPr>
        <w:t>SEC R</w:t>
      </w:r>
      <w:r>
        <w:rPr>
          <w:color w:val="000000"/>
        </w:rPr>
        <w:t>ule 10b-5 prohibits “any person…</w:t>
      </w:r>
      <w:r w:rsidRPr="00CF5098">
        <w:rPr>
          <w:color w:val="000000"/>
        </w:rPr>
        <w:t xml:space="preserve"> [t]o make any untrue statement or to omit to state a material fact necessary in order to make the statements made, in the light of the circumstances under which they were made, not misleading…in connection with the purchase or sale of any security.”  </w:t>
      </w:r>
    </w:p>
    <w:p w:rsidR="00FD1554" w:rsidRDefault="00FD1554" w:rsidP="00FD1554">
      <w:pPr>
        <w:spacing w:before="100" w:beforeAutospacing="1" w:after="100" w:afterAutospacing="1"/>
        <w:rPr>
          <w:color w:val="000000"/>
        </w:rPr>
      </w:pPr>
      <w:r>
        <w:rPr>
          <w:color w:val="000000"/>
        </w:rPr>
        <w:t xml:space="preserve">Second, as to these same firms, any person who had access to this information and sold stock </w:t>
      </w:r>
      <w:r w:rsidRPr="00CF5098">
        <w:rPr>
          <w:color w:val="000000"/>
        </w:rPr>
        <w:t xml:space="preserve"> </w:t>
      </w:r>
      <w:r>
        <w:rPr>
          <w:color w:val="000000"/>
        </w:rPr>
        <w:t xml:space="preserve">or other securities </w:t>
      </w:r>
      <w:r w:rsidRPr="00CF5098">
        <w:rPr>
          <w:color w:val="000000"/>
        </w:rPr>
        <w:t xml:space="preserve">may have traded on confidential insider information in violation section 10 of the </w:t>
      </w:r>
      <w:r>
        <w:rPr>
          <w:color w:val="000000"/>
        </w:rPr>
        <w:lastRenderedPageBreak/>
        <w:t>1934 Act</w:t>
      </w:r>
      <w:r w:rsidRPr="00CF5098">
        <w:rPr>
          <w:color w:val="000000"/>
        </w:rPr>
        <w:t>.</w:t>
      </w:r>
      <w:r>
        <w:rPr>
          <w:color w:val="000000"/>
        </w:rPr>
        <w:t xml:space="preserve">  Determining whether such trades took place will require further investigation by the agency to which the matter is referred.  </w:t>
      </w:r>
    </w:p>
    <w:p w:rsidR="00FD1554" w:rsidRDefault="00FD1554" w:rsidP="00FD1554">
      <w:pPr>
        <w:spacing w:before="100" w:beforeAutospacing="1" w:after="100" w:afterAutospacing="1"/>
        <w:rPr>
          <w:color w:val="000000"/>
        </w:rPr>
      </w:pPr>
      <w:r>
        <w:rPr>
          <w:color w:val="000000"/>
        </w:rPr>
        <w:t xml:space="preserve">Finally, as to Moody’s, </w:t>
      </w:r>
      <w:r w:rsidRPr="00CF5098">
        <w:rPr>
          <w:color w:val="000000"/>
        </w:rPr>
        <w:t>SEC Rule FD, issued under the 1934 Act, prohibits selective disclosure of material nonpublic information</w:t>
      </w:r>
      <w:r>
        <w:rPr>
          <w:color w:val="000000"/>
        </w:rPr>
        <w:t>.  Either as a direct violation of the terms of this regulation or the more general standards of the 1934 Act, Moody’s may be subject to an enforcement action.</w:t>
      </w:r>
    </w:p>
    <w:p w:rsidR="00FD1554" w:rsidRPr="00CF5098" w:rsidRDefault="00FD1554" w:rsidP="00FD1554">
      <w:pPr>
        <w:spacing w:before="100" w:beforeAutospacing="1" w:after="100" w:afterAutospacing="1"/>
        <w:ind w:firstLine="720"/>
        <w:outlineLvl w:val="0"/>
        <w:rPr>
          <w:b/>
          <w:color w:val="000000"/>
        </w:rPr>
      </w:pPr>
      <w:r>
        <w:rPr>
          <w:b/>
          <w:color w:val="000000"/>
        </w:rPr>
        <w:t>4</w:t>
      </w:r>
      <w:r w:rsidRPr="00CF5098">
        <w:rPr>
          <w:b/>
          <w:color w:val="000000"/>
        </w:rPr>
        <w:t>.</w:t>
      </w:r>
      <w:r w:rsidRPr="00CF5098">
        <w:rPr>
          <w:b/>
          <w:color w:val="000000"/>
        </w:rPr>
        <w:tab/>
      </w:r>
      <w:r w:rsidRPr="00CF5098">
        <w:rPr>
          <w:b/>
          <w:color w:val="000000"/>
          <w:u w:val="single"/>
        </w:rPr>
        <w:t>Potential Fraud and False Certifications: Citigroup</w:t>
      </w:r>
    </w:p>
    <w:p w:rsidR="00FD1554" w:rsidRPr="00CF5098" w:rsidRDefault="00FD1554" w:rsidP="00FD1554">
      <w:pPr>
        <w:spacing w:before="100" w:beforeAutospacing="1" w:after="100" w:afterAutospacing="1"/>
        <w:rPr>
          <w:color w:val="000000"/>
        </w:rPr>
      </w:pPr>
      <w:r w:rsidRPr="00CF5098">
        <w:rPr>
          <w:color w:val="000000"/>
        </w:rPr>
        <w:t xml:space="preserve">The Securities and Exchange Commission recently concluded a $75 million civil settlement with Citigroup, its former chief financial officer and the head of investor relations arising from affirmative statements to the markets in 2007 that the company had only $13 billion in subprime exposure when, in fact, the company ultimately disclosed $55 billion in subprime exposure.  </w:t>
      </w:r>
    </w:p>
    <w:p w:rsidR="00FD1554" w:rsidRPr="00CF5098" w:rsidRDefault="00FD1554" w:rsidP="00FD1554">
      <w:pPr>
        <w:spacing w:before="100" w:beforeAutospacing="1" w:after="100" w:afterAutospacing="1"/>
        <w:rPr>
          <w:color w:val="000000"/>
        </w:rPr>
      </w:pPr>
      <w:r w:rsidRPr="00CF5098">
        <w:rPr>
          <w:color w:val="000000"/>
        </w:rPr>
        <w:t xml:space="preserve">The SEC’s complaint, filed in conjunction with the settlement, does not </w:t>
      </w:r>
      <w:r>
        <w:rPr>
          <w:color w:val="000000"/>
        </w:rPr>
        <w:t>name</w:t>
      </w:r>
      <w:r w:rsidRPr="00CF5098">
        <w:rPr>
          <w:color w:val="000000"/>
        </w:rPr>
        <w:t xml:space="preserve"> the CEO, the chair of the Executive Committee of the Board of Directors, </w:t>
      </w:r>
      <w:r>
        <w:rPr>
          <w:color w:val="000000"/>
        </w:rPr>
        <w:t xml:space="preserve">other </w:t>
      </w:r>
      <w:r w:rsidRPr="00CF5098">
        <w:rPr>
          <w:color w:val="000000"/>
        </w:rPr>
        <w:t>members of the Board</w:t>
      </w:r>
      <w:r>
        <w:rPr>
          <w:color w:val="000000"/>
        </w:rPr>
        <w:t xml:space="preserve"> who were briefed on these exposures </w:t>
      </w:r>
      <w:r w:rsidRPr="00CF5098">
        <w:rPr>
          <w:color w:val="000000"/>
        </w:rPr>
        <w:t>or the president of the firm’s Citi Markets and Banking unit, Citigroup’s investment bank, even though they all were</w:t>
      </w:r>
      <w:r>
        <w:rPr>
          <w:color w:val="000000"/>
        </w:rPr>
        <w:t xml:space="preserve"> aware of this information well before it was disclosed to the public</w:t>
      </w:r>
    </w:p>
    <w:p w:rsidR="00FD1554" w:rsidRDefault="00FD1554" w:rsidP="00FD1554">
      <w:pPr>
        <w:spacing w:before="100" w:beforeAutospacing="1" w:after="100" w:afterAutospacing="1"/>
        <w:rPr>
          <w:color w:val="000000"/>
        </w:rPr>
      </w:pPr>
      <w:r w:rsidRPr="00CF5098">
        <w:rPr>
          <w:color w:val="000000"/>
        </w:rPr>
        <w:t xml:space="preserve">Based on FCIC interviews and documents obtained during our investigation, it is clear that CEO Chuck Prince and Robert Rubin, chair of the executive committee of the Board of Directors knew this information.  They learned of the existence of the super senior tranches of subprime securities and the liquidity puts no later than September 9, 2007.  </w:t>
      </w:r>
    </w:p>
    <w:p w:rsidR="00FD1554" w:rsidRDefault="00FD1554" w:rsidP="00FD1554">
      <w:pPr>
        <w:spacing w:before="100" w:beforeAutospacing="1" w:after="100" w:afterAutospacing="1"/>
        <w:rPr>
          <w:color w:val="000000"/>
        </w:rPr>
      </w:pPr>
      <w:r w:rsidRPr="00CF5098">
        <w:rPr>
          <w:color w:val="000000"/>
        </w:rPr>
        <w:t xml:space="preserve">On October 15, 2007, </w:t>
      </w:r>
      <w:r>
        <w:rPr>
          <w:color w:val="000000"/>
        </w:rPr>
        <w:t xml:space="preserve">the </w:t>
      </w:r>
      <w:r w:rsidRPr="00620879">
        <w:rPr>
          <w:color w:val="000000"/>
        </w:rPr>
        <w:t>same</w:t>
      </w:r>
      <w:r>
        <w:rPr>
          <w:color w:val="000000"/>
        </w:rPr>
        <w:t xml:space="preserve"> day markets were told that Citi’s subprime exposure amounted to $13 billion, </w:t>
      </w:r>
      <w:r w:rsidRPr="00620879">
        <w:rPr>
          <w:color w:val="000000"/>
        </w:rPr>
        <w:t>members</w:t>
      </w:r>
      <w:r>
        <w:rPr>
          <w:color w:val="000000"/>
        </w:rPr>
        <w:t xml:space="preserve"> of t</w:t>
      </w:r>
      <w:r w:rsidRPr="00CF5098">
        <w:rPr>
          <w:color w:val="000000"/>
        </w:rPr>
        <w:t>he Corporate Audit and Risk Management Committee of the Board w</w:t>
      </w:r>
      <w:r>
        <w:rPr>
          <w:color w:val="000000"/>
        </w:rPr>
        <w:t>ere</w:t>
      </w:r>
      <w:r w:rsidRPr="00CF5098">
        <w:rPr>
          <w:color w:val="000000"/>
        </w:rPr>
        <w:t xml:space="preserve"> advised that: “The total sub-prime exposure in Markets and Banking was $13bn with an additional $16bn in Direct Super Seniors and $27bn in Liquidity and Par Puts.”</w:t>
      </w:r>
      <w:r w:rsidRPr="00CF5098">
        <w:rPr>
          <w:color w:val="000000"/>
          <w:vertAlign w:val="superscript"/>
        </w:rPr>
        <w:footnoteReference w:id="12"/>
      </w:r>
      <w:r>
        <w:rPr>
          <w:color w:val="000000"/>
        </w:rPr>
        <w:t xml:space="preserve"> This information was shared with other members of the Board of Directors.  </w:t>
      </w:r>
    </w:p>
    <w:p w:rsidR="00FD1554" w:rsidRPr="00CF5098" w:rsidRDefault="00FD1554" w:rsidP="00FD1554">
      <w:pPr>
        <w:spacing w:before="100" w:beforeAutospacing="1" w:after="100" w:afterAutospacing="1"/>
        <w:rPr>
          <w:color w:val="000000"/>
        </w:rPr>
      </w:pPr>
      <w:r w:rsidRPr="00CF5098">
        <w:rPr>
          <w:color w:val="000000"/>
        </w:rPr>
        <w:t>Two weeks later, on November 4, 2007, after a steep decline in subprime valuations, Citi</w:t>
      </w:r>
      <w:r>
        <w:rPr>
          <w:color w:val="000000"/>
        </w:rPr>
        <w:t xml:space="preserve">group announced that it </w:t>
      </w:r>
      <w:r w:rsidRPr="00CF5098">
        <w:rPr>
          <w:color w:val="000000"/>
        </w:rPr>
        <w:t>had subprime exposures amounting to $55 billion</w:t>
      </w:r>
      <w:r>
        <w:rPr>
          <w:color w:val="000000"/>
        </w:rPr>
        <w:t xml:space="preserve">; </w:t>
      </w:r>
      <w:r w:rsidRPr="00CF5098">
        <w:rPr>
          <w:color w:val="000000"/>
        </w:rPr>
        <w:t>the value of these assets had declined by $8 t</w:t>
      </w:r>
      <w:r>
        <w:rPr>
          <w:color w:val="000000"/>
        </w:rPr>
        <w:t xml:space="preserve">o $11 billion and </w:t>
      </w:r>
      <w:r w:rsidRPr="00CF5098">
        <w:rPr>
          <w:color w:val="000000"/>
        </w:rPr>
        <w:t xml:space="preserve">CEO Chuck Prince </w:t>
      </w:r>
      <w:r>
        <w:rPr>
          <w:color w:val="000000"/>
        </w:rPr>
        <w:t xml:space="preserve">had </w:t>
      </w:r>
      <w:r w:rsidRPr="00CF5098">
        <w:rPr>
          <w:color w:val="000000"/>
        </w:rPr>
        <w:t>resigned.</w:t>
      </w:r>
    </w:p>
    <w:p w:rsidR="00FD1554" w:rsidRPr="00CF5098" w:rsidRDefault="00FD1554" w:rsidP="00FD1554">
      <w:pPr>
        <w:spacing w:before="100" w:beforeAutospacing="1" w:after="100" w:afterAutospacing="1"/>
        <w:rPr>
          <w:color w:val="000000"/>
        </w:rPr>
      </w:pPr>
      <w:r w:rsidRPr="00CF5098">
        <w:rPr>
          <w:color w:val="000000"/>
        </w:rPr>
        <w:t xml:space="preserve">Based on the foregoing, the representations made </w:t>
      </w:r>
      <w:r>
        <w:rPr>
          <w:color w:val="000000"/>
        </w:rPr>
        <w:t>in the</w:t>
      </w:r>
      <w:r w:rsidRPr="00CF5098">
        <w:rPr>
          <w:color w:val="000000"/>
        </w:rPr>
        <w:t xml:space="preserve"> October 15, 2007 </w:t>
      </w:r>
      <w:r>
        <w:rPr>
          <w:color w:val="000000"/>
        </w:rPr>
        <w:t xml:space="preserve">analysts call </w:t>
      </w:r>
      <w:r w:rsidRPr="00CF5098">
        <w:rPr>
          <w:color w:val="000000"/>
        </w:rPr>
        <w:t xml:space="preserve">appear to have violated SEC Rule 10b-5, which makes it unlawful for “any person, directly or indirectly” using any means of interstate commerce to “omit to state a material fact necessary in order to make the statements made, in the light of the circumstances under which they were made, not misleading” in connection with “the purchase or sale of any security.” </w:t>
      </w:r>
    </w:p>
    <w:p w:rsidR="00FD1554" w:rsidRPr="00CF5098" w:rsidRDefault="00FD1554" w:rsidP="00FD1554">
      <w:pPr>
        <w:spacing w:before="100" w:beforeAutospacing="1" w:after="100" w:afterAutospacing="1"/>
        <w:rPr>
          <w:color w:val="000000"/>
        </w:rPr>
      </w:pPr>
      <w:r w:rsidRPr="00CF5098">
        <w:rPr>
          <w:color w:val="000000"/>
        </w:rPr>
        <w:t xml:space="preserve">The SEC’s civil settlement ignores the executives </w:t>
      </w:r>
      <w:r>
        <w:rPr>
          <w:color w:val="000000"/>
        </w:rPr>
        <w:t xml:space="preserve">running the company </w:t>
      </w:r>
      <w:r w:rsidRPr="00CF5098">
        <w:rPr>
          <w:color w:val="000000"/>
        </w:rPr>
        <w:t xml:space="preserve">and Board members responsible for </w:t>
      </w:r>
      <w:r>
        <w:rPr>
          <w:color w:val="000000"/>
        </w:rPr>
        <w:t>overseeing it.</w:t>
      </w:r>
      <w:r w:rsidRPr="00CF5098">
        <w:rPr>
          <w:color w:val="000000"/>
        </w:rPr>
        <w:t xml:space="preserve">  Indeed, by naming only the CFO and the head of investor relations, the SEC appears to pin blame on those who speak a company’s line, rather than those responsible for writing it.  </w:t>
      </w:r>
    </w:p>
    <w:p w:rsidR="00FD1554" w:rsidRPr="00CF5098" w:rsidRDefault="00FD1554" w:rsidP="00FD1554">
      <w:pPr>
        <w:spacing w:before="100" w:beforeAutospacing="1" w:after="100" w:afterAutospacing="1"/>
        <w:rPr>
          <w:color w:val="000000"/>
        </w:rPr>
      </w:pPr>
      <w:r w:rsidRPr="00CF5098">
        <w:rPr>
          <w:color w:val="000000"/>
        </w:rPr>
        <w:lastRenderedPageBreak/>
        <w:t xml:space="preserve">The former CEO, Mr. Prince, the former chairman of the Board, Mr. Rubin, and </w:t>
      </w:r>
      <w:r>
        <w:rPr>
          <w:color w:val="000000"/>
        </w:rPr>
        <w:t xml:space="preserve">members of the Board </w:t>
      </w:r>
      <w:r w:rsidRPr="00CF5098">
        <w:rPr>
          <w:color w:val="000000"/>
        </w:rPr>
        <w:t>may have been “directly or indirectly” culpable in failing to disclose material information to the markets in violation of section 10b-5 of the 1934 Act.</w:t>
      </w:r>
    </w:p>
    <w:p w:rsidR="00FD1554" w:rsidRPr="00CF5098" w:rsidRDefault="00FD1554" w:rsidP="00FD1554">
      <w:pPr>
        <w:spacing w:before="100" w:beforeAutospacing="1" w:after="100" w:afterAutospacing="1"/>
        <w:rPr>
          <w:color w:val="000000"/>
        </w:rPr>
      </w:pPr>
      <w:r w:rsidRPr="00CF5098">
        <w:rPr>
          <w:color w:val="000000"/>
        </w:rPr>
        <w:t>In addition, section 302 of the Sarbanes-Oxley Act requires the CEO and the CFO to certify that annual and quarterly reports do “not contain any untrue statement…or omit to state a material fact.  In carrying out this certification obligation, the “signing officers” are responsible for establishing “internal controls” that “ensure that material information…is made known” to the officers during the time they are preparing the report.</w:t>
      </w:r>
      <w:r w:rsidRPr="00CF5098">
        <w:rPr>
          <w:color w:val="000000"/>
          <w:vertAlign w:val="superscript"/>
        </w:rPr>
        <w:footnoteReference w:id="13"/>
      </w:r>
    </w:p>
    <w:p w:rsidR="00FD1554" w:rsidRPr="00CF5098" w:rsidRDefault="00FD1554" w:rsidP="00FD1554">
      <w:pPr>
        <w:spacing w:before="100" w:beforeAutospacing="1" w:after="100" w:afterAutospacing="1"/>
        <w:rPr>
          <w:color w:val="000000"/>
        </w:rPr>
      </w:pPr>
      <w:r w:rsidRPr="00CF5098">
        <w:rPr>
          <w:color w:val="000000"/>
        </w:rPr>
        <w:t xml:space="preserve">Although financial statements were routinely signed by the CEO and the CFO during the lead up to Citigroup’s ultimate disclosure of $55 billion in subprime exposure, internal controls were facially inadequate.  As noted in a Federal Reserve Board report, </w:t>
      </w:r>
    </w:p>
    <w:p w:rsidR="00FD1554" w:rsidRPr="00CF5098" w:rsidRDefault="00FD1554" w:rsidP="00FD1554">
      <w:pPr>
        <w:spacing w:before="100" w:beforeAutospacing="1" w:after="100" w:afterAutospacing="1"/>
        <w:ind w:left="720"/>
        <w:rPr>
          <w:color w:val="000000"/>
        </w:rPr>
      </w:pPr>
      <w:r w:rsidRPr="00CF5098">
        <w:rPr>
          <w:color w:val="000000"/>
        </w:rPr>
        <w:t>…there was little communications on the extensive level of subprime exposure posed by Super Senior CDSs, nor on the sizable and growing inventory of non-bridge leveraged loans, nor the potential reputational risk emanating from SIVs which the firm either sponsored or supported.  Senior management, as well as the independent Risk Management function charged with monitoring responsibilities, did not properly identify and analyze these risks in a timely fashion.”</w:t>
      </w:r>
      <w:r w:rsidRPr="00CF5098">
        <w:rPr>
          <w:color w:val="000000"/>
          <w:vertAlign w:val="superscript"/>
        </w:rPr>
        <w:footnoteReference w:id="14"/>
      </w:r>
    </w:p>
    <w:p w:rsidR="00FD1554" w:rsidRDefault="00FD1554" w:rsidP="00FD1554">
      <w:pPr>
        <w:spacing w:before="100" w:beforeAutospacing="1" w:after="100" w:afterAutospacing="1"/>
        <w:rPr>
          <w:color w:val="000000"/>
        </w:rPr>
      </w:pPr>
      <w:r w:rsidRPr="00CF5098">
        <w:rPr>
          <w:color w:val="000000"/>
        </w:rPr>
        <w:t xml:space="preserve">Since the CEO and CFO are responsible under the Act for </w:t>
      </w:r>
      <w:r>
        <w:rPr>
          <w:color w:val="000000"/>
        </w:rPr>
        <w:t xml:space="preserve">accurate quarterly and annual reports, as well as </w:t>
      </w:r>
      <w:r w:rsidRPr="00CF5098">
        <w:rPr>
          <w:color w:val="000000"/>
        </w:rPr>
        <w:t xml:space="preserve">the adequacy of </w:t>
      </w:r>
      <w:r>
        <w:rPr>
          <w:color w:val="000000"/>
        </w:rPr>
        <w:t xml:space="preserve">the </w:t>
      </w:r>
      <w:r w:rsidRPr="00CF5098">
        <w:rPr>
          <w:color w:val="000000"/>
        </w:rPr>
        <w:t xml:space="preserve">risk management systems </w:t>
      </w:r>
      <w:r>
        <w:rPr>
          <w:color w:val="000000"/>
        </w:rPr>
        <w:t>needed to make those reports accurate,</w:t>
      </w:r>
      <w:r w:rsidRPr="00CF5098">
        <w:rPr>
          <w:color w:val="000000"/>
        </w:rPr>
        <w:t xml:space="preserve"> referrals for violations of section 302 </w:t>
      </w:r>
      <w:r>
        <w:rPr>
          <w:color w:val="000000"/>
        </w:rPr>
        <w:t xml:space="preserve">of the Sarbanes-Oxley Act </w:t>
      </w:r>
      <w:r w:rsidRPr="00CF5098">
        <w:rPr>
          <w:color w:val="000000"/>
        </w:rPr>
        <w:t>appear warranted.</w:t>
      </w:r>
    </w:p>
    <w:p w:rsidR="00FD1554" w:rsidRPr="00CF5098" w:rsidRDefault="00FD1554" w:rsidP="00FD1554">
      <w:pPr>
        <w:spacing w:before="100" w:beforeAutospacing="1" w:after="100" w:afterAutospacing="1"/>
        <w:ind w:left="1440" w:hanging="720"/>
        <w:outlineLvl w:val="0"/>
        <w:rPr>
          <w:b/>
          <w:color w:val="000000"/>
          <w:u w:val="single"/>
        </w:rPr>
      </w:pPr>
      <w:r w:rsidRPr="00CF5098">
        <w:rPr>
          <w:b/>
          <w:color w:val="000000"/>
        </w:rPr>
        <w:t>5.</w:t>
      </w:r>
      <w:r w:rsidRPr="00CF5098">
        <w:rPr>
          <w:color w:val="000000"/>
        </w:rPr>
        <w:tab/>
      </w:r>
      <w:r>
        <w:rPr>
          <w:b/>
          <w:color w:val="000000"/>
          <w:u w:val="single"/>
        </w:rPr>
        <w:t>P</w:t>
      </w:r>
      <w:r w:rsidRPr="00CF5098">
        <w:rPr>
          <w:b/>
          <w:color w:val="000000"/>
          <w:u w:val="single"/>
        </w:rPr>
        <w:t>otential Fraud</w:t>
      </w:r>
      <w:r>
        <w:rPr>
          <w:b/>
          <w:color w:val="000000"/>
          <w:u w:val="single"/>
        </w:rPr>
        <w:t xml:space="preserve"> by</w:t>
      </w:r>
      <w:r w:rsidRPr="00CF5098">
        <w:rPr>
          <w:b/>
          <w:color w:val="000000"/>
          <w:u w:val="single"/>
        </w:rPr>
        <w:t xml:space="preserve"> Goldman Sachs </w:t>
      </w:r>
      <w:r>
        <w:rPr>
          <w:b/>
          <w:color w:val="000000"/>
          <w:u w:val="single"/>
        </w:rPr>
        <w:t>in Connection with</w:t>
      </w:r>
      <w:r w:rsidRPr="00CF5098">
        <w:rPr>
          <w:b/>
          <w:color w:val="000000"/>
          <w:u w:val="single"/>
        </w:rPr>
        <w:t xml:space="preserve"> Collateral Calls on AIG</w:t>
      </w:r>
    </w:p>
    <w:p w:rsidR="00FD1554" w:rsidRPr="00CF5098" w:rsidRDefault="00FD1554" w:rsidP="00FD1554">
      <w:pPr>
        <w:spacing w:before="100" w:beforeAutospacing="1" w:after="100" w:afterAutospacing="1"/>
        <w:rPr>
          <w:color w:val="000000"/>
        </w:rPr>
      </w:pPr>
      <w:r w:rsidRPr="00CF5098">
        <w:rPr>
          <w:color w:val="000000"/>
        </w:rPr>
        <w:t>By the end of 2006, Goldman Sachs decided to reduce its exposure to subprime real estate and throughout 2007</w:t>
      </w:r>
      <w:r>
        <w:rPr>
          <w:color w:val="000000"/>
        </w:rPr>
        <w:t>,</w:t>
      </w:r>
      <w:r w:rsidRPr="00CF5098">
        <w:rPr>
          <w:color w:val="000000"/>
        </w:rPr>
        <w:t xml:space="preserve"> it maintained a “net short” or close to “net short” position on real estate-related assets.  Therefore, it was in Goldman’s interest for “marks” on CDOs to be as low as possible because gains on its “short” positions would exceed losses on “long” positions.  In addition, lower marks would require AIG to post larger amount</w:t>
      </w:r>
      <w:r>
        <w:rPr>
          <w:color w:val="000000"/>
        </w:rPr>
        <w:t>s</w:t>
      </w:r>
      <w:r w:rsidRPr="00CF5098">
        <w:rPr>
          <w:color w:val="000000"/>
        </w:rPr>
        <w:t xml:space="preserve"> of collateral under its CDS contracts with Goldman.  </w:t>
      </w:r>
    </w:p>
    <w:p w:rsidR="00FD1554" w:rsidRPr="00CF5098" w:rsidRDefault="00FD1554" w:rsidP="00FD1554">
      <w:pPr>
        <w:spacing w:before="100" w:beforeAutospacing="1" w:after="100" w:afterAutospacing="1"/>
        <w:rPr>
          <w:color w:val="000000"/>
        </w:rPr>
      </w:pPr>
      <w:r w:rsidRPr="00CF5098">
        <w:rPr>
          <w:color w:val="000000"/>
        </w:rPr>
        <w:t xml:space="preserve">The CDOs on which Goldman purchased CDS protection from AIG were illiquid instruments that could not be valued by obtaining prices from trades.  Instead, they were primarily valued by looking at trades of other securities, </w:t>
      </w:r>
      <w:r>
        <w:rPr>
          <w:color w:val="000000"/>
        </w:rPr>
        <w:t>indices</w:t>
      </w:r>
      <w:r w:rsidRPr="00CF5098">
        <w:rPr>
          <w:color w:val="000000"/>
        </w:rPr>
        <w:t xml:space="preserve"> like the ABX, and the use of models.  Marks for CDOs were often referred to as marks-to-model, and frequently required extrapolation of very limited data to estimate a market price.</w:t>
      </w:r>
    </w:p>
    <w:p w:rsidR="00FD1554" w:rsidRPr="00CF5098" w:rsidRDefault="00FD1554" w:rsidP="00FD1554">
      <w:pPr>
        <w:spacing w:before="100" w:beforeAutospacing="1" w:after="100" w:afterAutospacing="1"/>
        <w:rPr>
          <w:color w:val="000000"/>
        </w:rPr>
      </w:pPr>
      <w:r w:rsidRPr="00CF5098">
        <w:rPr>
          <w:color w:val="000000"/>
        </w:rPr>
        <w:t xml:space="preserve">Goldman was consistently the most aggressive firm on Wall Street in setting low marks.  In fact, in May 2007, Goldman’s CRO Craig Broderick wrote in an email to Dan Sparks that the firm was “in the process of considering making significant downward adjustments to the marks [on CDOs]” and that “this will potentially have a big P&amp;L impact on us., but also to our clients due </w:t>
      </w:r>
      <w:r w:rsidRPr="00CF5098">
        <w:rPr>
          <w:color w:val="000000"/>
        </w:rPr>
        <w:lastRenderedPageBreak/>
        <w:t>to the marks and associated margin calls on…derivatives.”</w:t>
      </w:r>
      <w:r w:rsidRPr="00CF5098">
        <w:rPr>
          <w:color w:val="000000"/>
          <w:vertAlign w:val="superscript"/>
        </w:rPr>
        <w:footnoteReference w:id="15"/>
      </w:r>
      <w:r w:rsidRPr="00CF5098">
        <w:rPr>
          <w:color w:val="000000"/>
        </w:rPr>
        <w:t xml:space="preserve">   </w:t>
      </w:r>
      <w:r>
        <w:rPr>
          <w:color w:val="000000"/>
        </w:rPr>
        <w:t>Other evidence indicates Goldman may have known its marks were too low.  For example:</w:t>
      </w:r>
    </w:p>
    <w:p w:rsidR="00FD1554" w:rsidRPr="00CF5098" w:rsidRDefault="00FD1554" w:rsidP="00FD1554">
      <w:pPr>
        <w:numPr>
          <w:ilvl w:val="0"/>
          <w:numId w:val="46"/>
        </w:numPr>
        <w:spacing w:before="100" w:beforeAutospacing="1" w:after="100" w:afterAutospacing="1" w:line="276" w:lineRule="auto"/>
        <w:contextualSpacing/>
        <w:rPr>
          <w:color w:val="000000"/>
        </w:rPr>
      </w:pPr>
      <w:r w:rsidRPr="00CF5098">
        <w:rPr>
          <w:color w:val="000000"/>
        </w:rPr>
        <w:t>Marks sent to Bear Stearns in June  2007 value securities in the BSAM funds at 50-60 cents on the dollar</w:t>
      </w:r>
      <w:r>
        <w:rPr>
          <w:color w:val="000000"/>
        </w:rPr>
        <w:t xml:space="preserve"> compared to higher marks provided by other dealers</w:t>
      </w:r>
      <w:r w:rsidRPr="00CF5098">
        <w:rPr>
          <w:color w:val="000000"/>
        </w:rPr>
        <w:t>.</w:t>
      </w:r>
      <w:r w:rsidRPr="00CF5098">
        <w:rPr>
          <w:color w:val="000000"/>
          <w:vertAlign w:val="superscript"/>
        </w:rPr>
        <w:footnoteReference w:id="16"/>
      </w:r>
      <w:r>
        <w:rPr>
          <w:color w:val="000000"/>
        </w:rPr>
        <w:t xml:space="preserve"> These marks caused BSAM’s NAV to decline from approximately a discount of 6.75% to a discount of 19%.</w:t>
      </w:r>
    </w:p>
    <w:p w:rsidR="00FD1554" w:rsidRPr="00CF5098" w:rsidRDefault="00FD1554" w:rsidP="00FD1554">
      <w:pPr>
        <w:numPr>
          <w:ilvl w:val="0"/>
          <w:numId w:val="46"/>
        </w:numPr>
        <w:spacing w:before="100" w:beforeAutospacing="1" w:after="100" w:afterAutospacing="1" w:line="276" w:lineRule="auto"/>
        <w:contextualSpacing/>
        <w:rPr>
          <w:color w:val="000000"/>
        </w:rPr>
      </w:pPr>
      <w:r w:rsidRPr="00CF5098">
        <w:rPr>
          <w:color w:val="000000"/>
        </w:rPr>
        <w:t xml:space="preserve">Goldman lowered its </w:t>
      </w:r>
      <w:r>
        <w:rPr>
          <w:color w:val="000000"/>
        </w:rPr>
        <w:t xml:space="preserve">initial </w:t>
      </w:r>
      <w:r w:rsidRPr="00CF5098">
        <w:rPr>
          <w:color w:val="000000"/>
        </w:rPr>
        <w:t xml:space="preserve">$1.8 billion collateral demand to </w:t>
      </w:r>
      <w:r>
        <w:rPr>
          <w:color w:val="000000"/>
        </w:rPr>
        <w:t>A</w:t>
      </w:r>
      <w:r w:rsidRPr="00CF5098">
        <w:rPr>
          <w:color w:val="000000"/>
        </w:rPr>
        <w:t>IG to $1.2 billion after AIG pointed out that the deman</w:t>
      </w:r>
      <w:r>
        <w:rPr>
          <w:color w:val="000000"/>
        </w:rPr>
        <w:t>d</w:t>
      </w:r>
      <w:r w:rsidRPr="00CF5098">
        <w:rPr>
          <w:color w:val="000000"/>
        </w:rPr>
        <w:t xml:space="preserve"> was based on “bid” prices rather than “mid” prices.</w:t>
      </w:r>
      <w:r w:rsidRPr="00CF5098">
        <w:rPr>
          <w:color w:val="000000"/>
          <w:vertAlign w:val="superscript"/>
        </w:rPr>
        <w:footnoteReference w:id="17"/>
      </w:r>
      <w:r>
        <w:rPr>
          <w:color w:val="000000"/>
        </w:rPr>
        <w:t xml:space="preserve"> Goldman Co-CEO Michael Sherwood recounted that Goldman “didn’t cover ourselves in glory” in this incident.</w:t>
      </w:r>
      <w:r>
        <w:rPr>
          <w:rStyle w:val="FootnoteReference"/>
          <w:color w:val="000000"/>
        </w:rPr>
        <w:footnoteReference w:id="18"/>
      </w:r>
    </w:p>
    <w:p w:rsidR="00FD1554" w:rsidRPr="00CF5098" w:rsidRDefault="00FD1554" w:rsidP="00FD1554">
      <w:pPr>
        <w:numPr>
          <w:ilvl w:val="0"/>
          <w:numId w:val="46"/>
        </w:numPr>
        <w:spacing w:before="100" w:beforeAutospacing="1" w:after="100" w:afterAutospacing="1" w:line="276" w:lineRule="auto"/>
        <w:contextualSpacing/>
        <w:rPr>
          <w:color w:val="000000"/>
        </w:rPr>
      </w:pPr>
      <w:r w:rsidRPr="00CF5098">
        <w:rPr>
          <w:color w:val="000000"/>
        </w:rPr>
        <w:t>AIG counter</w:t>
      </w:r>
      <w:r>
        <w:rPr>
          <w:color w:val="000000"/>
        </w:rPr>
        <w:t xml:space="preserve">ed </w:t>
      </w:r>
      <w:r w:rsidRPr="00CF5098">
        <w:rPr>
          <w:color w:val="000000"/>
        </w:rPr>
        <w:t>Goldman’s marks with marks from another investment bank, noting that the other institution was marking the specific CDOs at 80-95% while Goldman was marking at 55-60%.</w:t>
      </w:r>
      <w:r w:rsidRPr="00CF5098">
        <w:rPr>
          <w:color w:val="000000"/>
          <w:vertAlign w:val="superscript"/>
        </w:rPr>
        <w:footnoteReference w:id="19"/>
      </w:r>
    </w:p>
    <w:p w:rsidR="00FD1554" w:rsidRDefault="00FD1554" w:rsidP="00FD1554">
      <w:pPr>
        <w:numPr>
          <w:ilvl w:val="0"/>
          <w:numId w:val="46"/>
        </w:numPr>
        <w:spacing w:before="100" w:beforeAutospacing="1" w:after="100" w:afterAutospacing="1" w:line="276" w:lineRule="auto"/>
        <w:contextualSpacing/>
        <w:rPr>
          <w:color w:val="000000"/>
        </w:rPr>
      </w:pPr>
      <w:r>
        <w:rPr>
          <w:color w:val="000000"/>
        </w:rPr>
        <w:t>Societe Generale withdrew</w:t>
      </w:r>
      <w:r w:rsidRPr="00CF5098">
        <w:rPr>
          <w:color w:val="000000"/>
        </w:rPr>
        <w:t xml:space="preserve"> a collateral call on AIG based on Goldman’s marks when told AIG </w:t>
      </w:r>
      <w:r>
        <w:rPr>
          <w:color w:val="000000"/>
        </w:rPr>
        <w:t>would</w:t>
      </w:r>
      <w:r w:rsidRPr="00CF5098">
        <w:rPr>
          <w:color w:val="000000"/>
        </w:rPr>
        <w:t xml:space="preserve"> dispute the marks.</w:t>
      </w:r>
      <w:r w:rsidRPr="00CF5098">
        <w:rPr>
          <w:color w:val="000000"/>
          <w:vertAlign w:val="superscript"/>
        </w:rPr>
        <w:footnoteReference w:id="20"/>
      </w:r>
    </w:p>
    <w:p w:rsidR="00FD1554" w:rsidRDefault="00FD1554" w:rsidP="00FD1554">
      <w:pPr>
        <w:numPr>
          <w:ilvl w:val="0"/>
          <w:numId w:val="46"/>
        </w:numPr>
        <w:spacing w:before="100" w:beforeAutospacing="1" w:after="100" w:afterAutospacing="1" w:line="276" w:lineRule="auto"/>
        <w:contextualSpacing/>
        <w:rPr>
          <w:color w:val="000000"/>
        </w:rPr>
      </w:pPr>
      <w:r>
        <w:rPr>
          <w:color w:val="000000"/>
        </w:rPr>
        <w:t>Goldman’s Sherwood reportedly told Cassano that “the market’s starting to come our way,” apparently recognizing that prior marks were too low.</w:t>
      </w:r>
      <w:r>
        <w:rPr>
          <w:rStyle w:val="FootnoteReference"/>
          <w:color w:val="000000"/>
        </w:rPr>
        <w:footnoteReference w:id="21"/>
      </w:r>
    </w:p>
    <w:p w:rsidR="00FD1554" w:rsidRPr="00CF5098" w:rsidRDefault="00FD1554" w:rsidP="00FD1554">
      <w:pPr>
        <w:spacing w:before="100" w:beforeAutospacing="1" w:after="100" w:afterAutospacing="1" w:line="276" w:lineRule="auto"/>
        <w:ind w:left="720"/>
        <w:contextualSpacing/>
        <w:rPr>
          <w:color w:val="000000"/>
        </w:rPr>
      </w:pPr>
    </w:p>
    <w:p w:rsidR="00FD1554" w:rsidRPr="00CF5098" w:rsidRDefault="00FD1554" w:rsidP="00FD1554">
      <w:pPr>
        <w:spacing w:before="100" w:beforeAutospacing="1" w:after="100" w:afterAutospacing="1"/>
        <w:rPr>
          <w:color w:val="000000"/>
        </w:rPr>
      </w:pPr>
      <w:r w:rsidRPr="00CF5098">
        <w:rPr>
          <w:color w:val="000000"/>
        </w:rPr>
        <w:t xml:space="preserve">These facts raise potential legal issues that merit further exploration. First, with respect to the </w:t>
      </w:r>
      <w:r>
        <w:rPr>
          <w:color w:val="000000"/>
        </w:rPr>
        <w:t xml:space="preserve">May 2007 </w:t>
      </w:r>
      <w:r w:rsidRPr="00CF5098">
        <w:rPr>
          <w:color w:val="000000"/>
        </w:rPr>
        <w:t xml:space="preserve">e-mail previewing the fact that Goldman was about to significantly reduce its marks, this would be material information to anyone purchasing securities </w:t>
      </w:r>
      <w:r>
        <w:rPr>
          <w:color w:val="000000"/>
        </w:rPr>
        <w:t xml:space="preserve">from Goldman. If Goldman knew it was about to lower the values of the securities it was selling, pursuant to an offering circular, or if Goldman had a fiduciary relationship with any of the buyers, </w:t>
      </w:r>
      <w:r w:rsidRPr="00CF5098">
        <w:rPr>
          <w:color w:val="000000"/>
        </w:rPr>
        <w:t xml:space="preserve">this could represent a </w:t>
      </w:r>
      <w:r>
        <w:rPr>
          <w:color w:val="000000"/>
        </w:rPr>
        <w:t xml:space="preserve">violation of the </w:t>
      </w:r>
      <w:r w:rsidRPr="00CF5098">
        <w:rPr>
          <w:color w:val="000000"/>
        </w:rPr>
        <w:t xml:space="preserve">1934 Act </w:t>
      </w:r>
      <w:r>
        <w:rPr>
          <w:color w:val="000000"/>
        </w:rPr>
        <w:t>or other laws</w:t>
      </w:r>
      <w:r w:rsidRPr="00CF5098">
        <w:rPr>
          <w:color w:val="000000"/>
        </w:rPr>
        <w:t xml:space="preserve"> arising from the failure to disclose this information to</w:t>
      </w:r>
      <w:r>
        <w:rPr>
          <w:color w:val="000000"/>
        </w:rPr>
        <w:t xml:space="preserve"> potential buyers.  Second, t</w:t>
      </w:r>
      <w:r w:rsidRPr="00CF5098">
        <w:rPr>
          <w:color w:val="000000"/>
        </w:rPr>
        <w:t>his could also be a 1933 Act violation if this information was omitted from a</w:t>
      </w:r>
      <w:r>
        <w:rPr>
          <w:color w:val="000000"/>
        </w:rPr>
        <w:t>n</w:t>
      </w:r>
      <w:r w:rsidRPr="00CF5098">
        <w:rPr>
          <w:color w:val="000000"/>
        </w:rPr>
        <w:t xml:space="preserve"> offering document</w:t>
      </w:r>
      <w:r>
        <w:rPr>
          <w:color w:val="000000"/>
        </w:rPr>
        <w:t xml:space="preserve"> concerning the securities being sold</w:t>
      </w:r>
      <w:r w:rsidRPr="00CF5098">
        <w:rPr>
          <w:color w:val="000000"/>
        </w:rPr>
        <w:t>.</w:t>
      </w:r>
    </w:p>
    <w:p w:rsidR="00FD1554" w:rsidRDefault="00FD1554" w:rsidP="00FD1554">
      <w:pPr>
        <w:spacing w:after="200" w:line="276" w:lineRule="auto"/>
        <w:ind w:firstLine="720"/>
        <w:contextualSpacing/>
        <w:outlineLvl w:val="0"/>
        <w:rPr>
          <w:b/>
          <w:u w:val="single"/>
        </w:rPr>
      </w:pPr>
      <w:r w:rsidRPr="00CF5098">
        <w:rPr>
          <w:b/>
        </w:rPr>
        <w:t>6.</w:t>
      </w:r>
      <w:r w:rsidRPr="00CF5098">
        <w:tab/>
      </w:r>
      <w:r>
        <w:rPr>
          <w:b/>
          <w:u w:val="single"/>
        </w:rPr>
        <w:t xml:space="preserve">Potential Fraud in </w:t>
      </w:r>
      <w:r w:rsidRPr="00CF5098">
        <w:rPr>
          <w:b/>
          <w:u w:val="single"/>
        </w:rPr>
        <w:t>AIG Investor Calls</w:t>
      </w:r>
    </w:p>
    <w:p w:rsidR="00FD1554" w:rsidRPr="00CF5098" w:rsidRDefault="00FD1554" w:rsidP="00FD1554">
      <w:pPr>
        <w:spacing w:after="200" w:line="276" w:lineRule="auto"/>
        <w:ind w:firstLine="720"/>
        <w:contextualSpacing/>
        <w:outlineLvl w:val="0"/>
        <w:rPr>
          <w:b/>
        </w:rPr>
      </w:pPr>
    </w:p>
    <w:p w:rsidR="00FD1554" w:rsidRPr="00CF5098" w:rsidRDefault="00FD1554" w:rsidP="00FD1554">
      <w:pPr>
        <w:rPr>
          <w:color w:val="000000"/>
        </w:rPr>
      </w:pPr>
      <w:r w:rsidRPr="00CF5098">
        <w:t>On a December 5, 2007</w:t>
      </w:r>
      <w:r>
        <w:t>,</w:t>
      </w:r>
      <w:r w:rsidRPr="00CF5098">
        <w:t xml:space="preserve"> investor call, CEO Sullivan and Financial Services unit president Cassano assured participants </w:t>
      </w:r>
      <w:r>
        <w:t xml:space="preserve">with respect to its super senior portfolios </w:t>
      </w:r>
      <w:r w:rsidRPr="00CF5098">
        <w:t xml:space="preserve">that they “were highly confident that we will have no realized losses on these portfolios during the life of these portfolios.”  AIG executives reported that </w:t>
      </w:r>
      <w:r w:rsidRPr="00CF5098">
        <w:rPr>
          <w:color w:val="000000"/>
        </w:rPr>
        <w:t>there was an estimated $1.5 billion unrealized valuation loss on the super senior credit default swap portfolio.  However, it was not revealed that AIG’s calculations included (1) a $3.6 billion “negative basis” adjustment which reflected the difference between the value of the  “synthetic” super senior credit d</w:t>
      </w:r>
      <w:r>
        <w:rPr>
          <w:color w:val="000000"/>
        </w:rPr>
        <w:t xml:space="preserve">efault swap portfolio </w:t>
      </w:r>
      <w:r w:rsidRPr="00CF5098">
        <w:rPr>
          <w:color w:val="000000"/>
        </w:rPr>
        <w:t>and the underlying “cash” bond that was being valued and (2) a $732 million “structured mitigant” adjustment.</w:t>
      </w:r>
    </w:p>
    <w:p w:rsidR="00FD1554" w:rsidRPr="00CF5098" w:rsidRDefault="00FD1554" w:rsidP="00FD1554">
      <w:pPr>
        <w:rPr>
          <w:color w:val="000000"/>
        </w:rPr>
      </w:pPr>
    </w:p>
    <w:p w:rsidR="00FD1554" w:rsidRPr="00CF5098" w:rsidRDefault="00FD1554" w:rsidP="00FD1554">
      <w:pPr>
        <w:autoSpaceDE w:val="0"/>
        <w:autoSpaceDN w:val="0"/>
        <w:adjustRightInd w:val="0"/>
        <w:rPr>
          <w:color w:val="000000"/>
        </w:rPr>
      </w:pPr>
      <w:r w:rsidRPr="00CF5098">
        <w:rPr>
          <w:color w:val="000000"/>
        </w:rPr>
        <w:t>Without the undisclosed adjustments, the unrealized valuation loss on the super senior credit default swap portfolio would have been $5.9 billion. On February 11, 2008, AIG disclosed the $3.6 billion negative basis adjustment</w:t>
      </w:r>
      <w:r>
        <w:rPr>
          <w:color w:val="000000"/>
        </w:rPr>
        <w:t>, the $732 million “structured mitigant” adjustment,</w:t>
      </w:r>
      <w:r w:rsidRPr="00CF5098">
        <w:rPr>
          <w:color w:val="000000"/>
        </w:rPr>
        <w:t xml:space="preserve"> and material weakness in the company’s risk management system.  The result was the largest full-day decline in AIG’s share price since the general stock market crash of 1987.  </w:t>
      </w:r>
    </w:p>
    <w:p w:rsidR="00FD1554" w:rsidRPr="00CF5098" w:rsidRDefault="00FD1554" w:rsidP="00FD1554">
      <w:pPr>
        <w:autoSpaceDE w:val="0"/>
        <w:autoSpaceDN w:val="0"/>
        <w:adjustRightInd w:val="0"/>
        <w:rPr>
          <w:color w:val="000000"/>
        </w:rPr>
      </w:pPr>
    </w:p>
    <w:p w:rsidR="00FD1554" w:rsidRPr="00CF5098" w:rsidRDefault="00FD1554" w:rsidP="00FD1554">
      <w:pPr>
        <w:autoSpaceDE w:val="0"/>
        <w:autoSpaceDN w:val="0"/>
        <w:adjustRightInd w:val="0"/>
        <w:rPr>
          <w:color w:val="000000"/>
        </w:rPr>
      </w:pPr>
      <w:r w:rsidRPr="00CF5098">
        <w:rPr>
          <w:color w:val="000000"/>
        </w:rPr>
        <w:t>The failure to disclose this informa</w:t>
      </w:r>
      <w:r>
        <w:rPr>
          <w:color w:val="000000"/>
        </w:rPr>
        <w:t xml:space="preserve">tion on the December 5, 2007, investor call presents, at a minimum, </w:t>
      </w:r>
      <w:r w:rsidRPr="00CF5098">
        <w:rPr>
          <w:color w:val="000000"/>
        </w:rPr>
        <w:t xml:space="preserve">a potential violation of section 10b-5 of the 1934 Act.  A potentially more interesting question is who might be penalized for this violation.  </w:t>
      </w:r>
    </w:p>
    <w:p w:rsidR="00FD1554" w:rsidRPr="00CF5098" w:rsidRDefault="00FD1554" w:rsidP="00FD1554">
      <w:pPr>
        <w:autoSpaceDE w:val="0"/>
        <w:autoSpaceDN w:val="0"/>
        <w:adjustRightInd w:val="0"/>
        <w:rPr>
          <w:color w:val="000000"/>
        </w:rPr>
      </w:pPr>
    </w:p>
    <w:p w:rsidR="00FD1554" w:rsidRPr="00CF5098" w:rsidRDefault="00FD1554" w:rsidP="00FD1554">
      <w:pPr>
        <w:autoSpaceDE w:val="0"/>
        <w:autoSpaceDN w:val="0"/>
        <w:adjustRightInd w:val="0"/>
        <w:rPr>
          <w:color w:val="000000"/>
        </w:rPr>
      </w:pPr>
      <w:r w:rsidRPr="00CF5098">
        <w:rPr>
          <w:color w:val="000000"/>
        </w:rPr>
        <w:t>One reason Mr. Cassano testified at our hearing was that the Department of Justice and the Securities and Exchange Commission decided not to prosecute him because he had disclosed the negative basis adjustment to Mr. Sullivan, the CEO, Mr. Bensinger, the CFO, and the firm’s auditors</w:t>
      </w:r>
      <w:r>
        <w:rPr>
          <w:color w:val="000000"/>
        </w:rPr>
        <w:t>,</w:t>
      </w:r>
      <w:r w:rsidRPr="00CF5098">
        <w:rPr>
          <w:color w:val="000000"/>
        </w:rPr>
        <w:t xml:space="preserve"> PriceWaterhouseCoopers (“PWC”)</w:t>
      </w:r>
      <w:r>
        <w:rPr>
          <w:color w:val="000000"/>
        </w:rPr>
        <w:t xml:space="preserve"> before the December 5 call</w:t>
      </w:r>
      <w:r w:rsidRPr="00CF5098">
        <w:rPr>
          <w:color w:val="000000"/>
        </w:rPr>
        <w:t>.  Evidence of these disclosures include notes of a meeting prepared by PWC attended by Sullivan</w:t>
      </w:r>
      <w:r>
        <w:rPr>
          <w:color w:val="000000"/>
        </w:rPr>
        <w:t>, Bensinger</w:t>
      </w:r>
      <w:r w:rsidRPr="00CF5098">
        <w:rPr>
          <w:color w:val="000000"/>
        </w:rPr>
        <w:t xml:space="preserve"> and the auditors on November 19, 2007,</w:t>
      </w:r>
      <w:r w:rsidRPr="00CF5098">
        <w:rPr>
          <w:color w:val="000000"/>
          <w:vertAlign w:val="superscript"/>
        </w:rPr>
        <w:footnoteReference w:id="22"/>
      </w:r>
      <w:r w:rsidRPr="00CF5098">
        <w:rPr>
          <w:color w:val="000000"/>
        </w:rPr>
        <w:t xml:space="preserve"> and a December 1, 2007 e-mail from Cassano describing the derivation of the negative adjustment.</w:t>
      </w:r>
      <w:r w:rsidRPr="00CF5098">
        <w:rPr>
          <w:color w:val="000000"/>
          <w:vertAlign w:val="superscript"/>
        </w:rPr>
        <w:footnoteReference w:id="23"/>
      </w:r>
    </w:p>
    <w:p w:rsidR="00FD1554" w:rsidRPr="00CF5098" w:rsidRDefault="00FD1554" w:rsidP="00FD1554">
      <w:pPr>
        <w:autoSpaceDE w:val="0"/>
        <w:autoSpaceDN w:val="0"/>
        <w:adjustRightInd w:val="0"/>
      </w:pPr>
    </w:p>
    <w:p w:rsidR="00FD1554" w:rsidRPr="00CF5098" w:rsidRDefault="00FD1554" w:rsidP="00FD1554">
      <w:r w:rsidRPr="00CF5098">
        <w:t xml:space="preserve">Mr. Sullivan and Mr. Bensinger may be an appropriate focus of an enforcement action because they (1) </w:t>
      </w:r>
      <w:r>
        <w:t>knew</w:t>
      </w:r>
      <w:r w:rsidRPr="00CF5098">
        <w:t xml:space="preserve"> about the problems with the $1.5 billion figure (although Mr. Sullivan testified </w:t>
      </w:r>
      <w:r>
        <w:t xml:space="preserve">before us </w:t>
      </w:r>
      <w:r w:rsidRPr="00CF5098">
        <w:t xml:space="preserve">that he does not recall </w:t>
      </w:r>
      <w:r>
        <w:t xml:space="preserve">this part of </w:t>
      </w:r>
      <w:r w:rsidRPr="00CF5098">
        <w:t xml:space="preserve">the November meeting); (2) they had the power to direct an adequate disclosure, but didn’t use that power; and (3) personally participated in the December call.  </w:t>
      </w:r>
    </w:p>
    <w:p w:rsidR="00FD1554" w:rsidRPr="00CF5098" w:rsidRDefault="00FD1554" w:rsidP="00FD1554"/>
    <w:p w:rsidR="00FD1554" w:rsidRDefault="00FD1554" w:rsidP="00FD1554">
      <w:r w:rsidRPr="00CF5098">
        <w:t xml:space="preserve">PWC may also be exposed on these facts.  </w:t>
      </w:r>
      <w:r>
        <w:t>PWC was not present at the 12/5/07 investor call and therefore did not make any representations.</w:t>
      </w:r>
      <w:r w:rsidRPr="00CF5098">
        <w:t xml:space="preserve">  </w:t>
      </w:r>
      <w:r>
        <w:t>But t</w:t>
      </w:r>
      <w:r w:rsidRPr="00CF5098">
        <w:t>he auditors may be</w:t>
      </w:r>
      <w:r>
        <w:t xml:space="preserve"> liable as</w:t>
      </w:r>
      <w:r w:rsidRPr="00CF5098">
        <w:t xml:space="preserve"> aiders and abettors of the </w:t>
      </w:r>
      <w:r>
        <w:t>false representations</w:t>
      </w:r>
      <w:r w:rsidRPr="00CF5098">
        <w:t>.  Although private plaintiffs cannot invoke aider and abettor liability, the SEC retains this authority.</w:t>
      </w:r>
      <w:r w:rsidRPr="00CF5098">
        <w:rPr>
          <w:vertAlign w:val="superscript"/>
        </w:rPr>
        <w:footnoteReference w:id="24"/>
      </w:r>
      <w:r w:rsidRPr="00CF5098">
        <w:t xml:space="preserve"> </w:t>
      </w:r>
    </w:p>
    <w:p w:rsidR="00FD1554" w:rsidRDefault="00FD1554" w:rsidP="00FD1554"/>
    <w:p w:rsidR="00FD1554" w:rsidRPr="00CF5098" w:rsidRDefault="00FD1554" w:rsidP="00FD1554">
      <w:r>
        <w:t>Mr. Sullivan and Mr. Bensinger may also be liable under section 302 of the Sarbanes-Oxley Act.  As discussed in the sections on Citigroup and Fannie Mae, this section requires both the certification of accuracy and the certification of an appropriate risk management section.</w:t>
      </w:r>
    </w:p>
    <w:p w:rsidR="00FD1554" w:rsidRPr="00CF5098" w:rsidRDefault="00FD1554" w:rsidP="00FD1554">
      <w:pPr>
        <w:spacing w:before="100" w:beforeAutospacing="1" w:after="100" w:afterAutospacing="1"/>
        <w:ind w:left="1440" w:hanging="720"/>
        <w:outlineLvl w:val="0"/>
        <w:rPr>
          <w:b/>
          <w:color w:val="000000"/>
          <w:u w:val="single"/>
        </w:rPr>
      </w:pPr>
      <w:r w:rsidRPr="00CF5098">
        <w:rPr>
          <w:b/>
          <w:color w:val="000000"/>
        </w:rPr>
        <w:t>7.</w:t>
      </w:r>
      <w:r w:rsidRPr="00CF5098">
        <w:rPr>
          <w:b/>
          <w:color w:val="000000"/>
        </w:rPr>
        <w:tab/>
      </w:r>
      <w:r w:rsidRPr="00245BAE">
        <w:rPr>
          <w:b/>
          <w:color w:val="000000"/>
          <w:u w:val="single"/>
        </w:rPr>
        <w:t>Potential</w:t>
      </w:r>
      <w:r>
        <w:rPr>
          <w:b/>
          <w:color w:val="000000"/>
          <w:u w:val="single"/>
        </w:rPr>
        <w:t xml:space="preserve"> Fraud by </w:t>
      </w:r>
      <w:r w:rsidRPr="00CF5098">
        <w:rPr>
          <w:b/>
          <w:color w:val="000000"/>
          <w:u w:val="single"/>
        </w:rPr>
        <w:t xml:space="preserve">Goldman Sachs </w:t>
      </w:r>
      <w:r>
        <w:rPr>
          <w:b/>
          <w:color w:val="000000"/>
          <w:u w:val="single"/>
        </w:rPr>
        <w:t>in</w:t>
      </w:r>
      <w:r w:rsidRPr="00CF5098">
        <w:rPr>
          <w:b/>
          <w:color w:val="000000"/>
          <w:u w:val="single"/>
        </w:rPr>
        <w:t xml:space="preserve"> </w:t>
      </w:r>
      <w:r>
        <w:rPr>
          <w:b/>
          <w:color w:val="000000"/>
          <w:u w:val="single"/>
        </w:rPr>
        <w:t xml:space="preserve">Connection with </w:t>
      </w:r>
      <w:r w:rsidRPr="00CF5098">
        <w:rPr>
          <w:b/>
          <w:color w:val="000000"/>
          <w:u w:val="single"/>
        </w:rPr>
        <w:t>Abacus 2007-18</w:t>
      </w:r>
      <w:r>
        <w:rPr>
          <w:b/>
          <w:color w:val="000000"/>
          <w:u w:val="single"/>
        </w:rPr>
        <w:t xml:space="preserve"> CDO</w:t>
      </w:r>
    </w:p>
    <w:p w:rsidR="00FD1554" w:rsidRDefault="00FD1554" w:rsidP="00FD1554">
      <w:pPr>
        <w:spacing w:before="100" w:beforeAutospacing="1" w:after="100" w:afterAutospacing="1"/>
        <w:rPr>
          <w:color w:val="000000"/>
        </w:rPr>
      </w:pPr>
      <w:r w:rsidRPr="00CF5098">
        <w:rPr>
          <w:color w:val="000000"/>
        </w:rPr>
        <w:t xml:space="preserve">Abacus 2007-18 was one of a series of synthetic CDOs developed by Goldman Sachs.  Goldman took the short side and sold the long side.  It then </w:t>
      </w:r>
      <w:r>
        <w:rPr>
          <w:color w:val="000000"/>
        </w:rPr>
        <w:t xml:space="preserve">sold a portion of its </w:t>
      </w:r>
      <w:r w:rsidRPr="00CF5098">
        <w:rPr>
          <w:color w:val="000000"/>
        </w:rPr>
        <w:t xml:space="preserve">short position </w:t>
      </w:r>
      <w:r>
        <w:rPr>
          <w:color w:val="000000"/>
        </w:rPr>
        <w:t>to</w:t>
      </w:r>
      <w:r w:rsidRPr="00CF5098">
        <w:rPr>
          <w:color w:val="000000"/>
        </w:rPr>
        <w:t xml:space="preserve"> FrontPoint LLC</w:t>
      </w:r>
      <w:r>
        <w:rPr>
          <w:color w:val="000000"/>
        </w:rPr>
        <w:t xml:space="preserve"> and others</w:t>
      </w:r>
      <w:r w:rsidRPr="00CF5098">
        <w:rPr>
          <w:color w:val="000000"/>
        </w:rPr>
        <w:t>.   Steve Eisman, the principal deal maker at FrontPoint</w:t>
      </w:r>
      <w:r>
        <w:rPr>
          <w:color w:val="000000"/>
        </w:rPr>
        <w:t>,</w:t>
      </w:r>
      <w:r w:rsidRPr="00CF5098">
        <w:rPr>
          <w:color w:val="000000"/>
        </w:rPr>
        <w:t xml:space="preserve"> reported that a few months after the transaction was concluded, Goldman’s Jonathan Egol and David Lehman met with him, at his request, to further explain the deal and Goldman’s </w:t>
      </w:r>
      <w:r>
        <w:rPr>
          <w:color w:val="000000"/>
        </w:rPr>
        <w:t>role</w:t>
      </w:r>
      <w:r w:rsidRPr="00CF5098">
        <w:rPr>
          <w:color w:val="000000"/>
        </w:rPr>
        <w:t xml:space="preserve"> in it.  According to Eisman, the explanation was “half English and half jargon,” so he asked them to tell him “if I’m right.  </w:t>
      </w:r>
      <w:r>
        <w:rPr>
          <w:color w:val="000000"/>
        </w:rPr>
        <w:t>Eisman</w:t>
      </w:r>
      <w:r w:rsidRPr="00CF5098">
        <w:rPr>
          <w:color w:val="000000"/>
        </w:rPr>
        <w:t xml:space="preserve"> then said: </w:t>
      </w:r>
    </w:p>
    <w:p w:rsidR="00FD1554" w:rsidRPr="00CF5098" w:rsidRDefault="00FD1554" w:rsidP="00FD1554">
      <w:pPr>
        <w:spacing w:before="100" w:beforeAutospacing="1" w:after="100" w:afterAutospacing="1"/>
        <w:ind w:left="720"/>
        <w:rPr>
          <w:color w:val="000000"/>
        </w:rPr>
      </w:pPr>
      <w:r w:rsidRPr="00CF5098">
        <w:rPr>
          <w:color w:val="000000"/>
        </w:rPr>
        <w:lastRenderedPageBreak/>
        <w:t>so you put this stuff together and you went to the agencies to get a rating and the biggest issue with the rating is the correlation of loss, and you presented a correlation analysis that was lower than you actually thought it was but the rating agencies were stupid, so they’d buy it anyway.  So assuming your correlation analysis was correct, you took the short side, sold it to the client and then [did the deal with me to get a mark].</w:t>
      </w:r>
      <w:r>
        <w:rPr>
          <w:rStyle w:val="FootnoteReference"/>
          <w:color w:val="000000"/>
        </w:rPr>
        <w:footnoteReference w:id="25"/>
      </w:r>
    </w:p>
    <w:p w:rsidR="00FD1554" w:rsidRPr="00CF5098" w:rsidRDefault="00FD1554" w:rsidP="00FD1554">
      <w:pPr>
        <w:spacing w:before="100" w:beforeAutospacing="1" w:after="100" w:afterAutospacing="1"/>
        <w:rPr>
          <w:color w:val="000000"/>
        </w:rPr>
      </w:pPr>
      <w:r>
        <w:rPr>
          <w:color w:val="000000"/>
        </w:rPr>
        <w:t xml:space="preserve">Eisman stated that </w:t>
      </w:r>
      <w:r w:rsidRPr="00CF5098">
        <w:rPr>
          <w:color w:val="000000"/>
        </w:rPr>
        <w:t>Egol responded, “well, I wouldn’t put it in those terms exactly.”</w:t>
      </w:r>
    </w:p>
    <w:p w:rsidR="00FD1554" w:rsidRPr="00CF5098" w:rsidRDefault="00FD1554" w:rsidP="00FD1554">
      <w:pPr>
        <w:spacing w:before="100" w:beforeAutospacing="1" w:after="100" w:afterAutospacing="1"/>
        <w:rPr>
          <w:color w:val="000000"/>
        </w:rPr>
      </w:pPr>
      <w:r w:rsidRPr="00CF5098">
        <w:rPr>
          <w:color w:val="000000"/>
        </w:rPr>
        <w:t>Egol’s reported response indicates that he was not disputing Eisman’s characterization.  This is a species of adoptive admission</w:t>
      </w:r>
      <w:r>
        <w:rPr>
          <w:color w:val="000000"/>
        </w:rPr>
        <w:t>,</w:t>
      </w:r>
      <w:r w:rsidRPr="00CF5098">
        <w:rPr>
          <w:color w:val="000000"/>
        </w:rPr>
        <w:t xml:space="preserve"> the scope of which turns on the degree to which “exactly” is interpreted as acceptance of Eisman’s statement.  </w:t>
      </w:r>
    </w:p>
    <w:p w:rsidR="00FD1554" w:rsidRPr="00CF5098" w:rsidRDefault="00FD1554" w:rsidP="00FD1554">
      <w:pPr>
        <w:spacing w:before="100" w:beforeAutospacing="1" w:after="100" w:afterAutospacing="1"/>
        <w:rPr>
          <w:color w:val="000000"/>
        </w:rPr>
      </w:pPr>
      <w:r w:rsidRPr="00CF5098">
        <w:rPr>
          <w:color w:val="000000"/>
        </w:rPr>
        <w:t xml:space="preserve">Assuming that Egol did agree with Eisman, this could raise legal issues for Goldman.  First, if Goldman did </w:t>
      </w:r>
      <w:r>
        <w:rPr>
          <w:color w:val="000000"/>
        </w:rPr>
        <w:t>deliberately mislead</w:t>
      </w:r>
      <w:r w:rsidRPr="00CF5098">
        <w:rPr>
          <w:color w:val="000000"/>
        </w:rPr>
        <w:t xml:space="preserve"> the rating agencies </w:t>
      </w:r>
      <w:r>
        <w:rPr>
          <w:color w:val="000000"/>
        </w:rPr>
        <w:t>through the</w:t>
      </w:r>
      <w:r w:rsidRPr="00CF5098">
        <w:rPr>
          <w:color w:val="000000"/>
        </w:rPr>
        <w:t xml:space="preserve"> use of an inaccurate correlation, more of the security may have been rated AAA than should have been.  In this event, this could be a material omission for purposes of the 1934 Act.  It could also implicate the 1933 Act if the offering documents on Abacus 2007-18 did not include material information that </w:t>
      </w:r>
      <w:r>
        <w:rPr>
          <w:color w:val="000000"/>
        </w:rPr>
        <w:t>disclosed</w:t>
      </w:r>
      <w:r w:rsidRPr="00CF5098">
        <w:rPr>
          <w:color w:val="000000"/>
        </w:rPr>
        <w:t xml:space="preserve"> how much of the security should have been AAA.  </w:t>
      </w:r>
    </w:p>
    <w:p w:rsidR="00FD1554" w:rsidRPr="00CF5098" w:rsidRDefault="00FD1554" w:rsidP="00FD1554">
      <w:pPr>
        <w:spacing w:before="100" w:beforeAutospacing="1" w:after="100" w:afterAutospacing="1"/>
        <w:rPr>
          <w:color w:val="000000"/>
        </w:rPr>
      </w:pPr>
      <w:r w:rsidRPr="00CF5098">
        <w:rPr>
          <w:color w:val="000000"/>
        </w:rPr>
        <w:t>Eisman went on to say that</w:t>
      </w:r>
      <w:r>
        <w:rPr>
          <w:color w:val="000000"/>
        </w:rPr>
        <w:t xml:space="preserve"> he believed that Goldman, “</w:t>
      </w:r>
      <w:r w:rsidRPr="00CF5098">
        <w:rPr>
          <w:color w:val="000000"/>
        </w:rPr>
        <w:t>wanted another party in the transaction so if we have to mark the thing down, we’re not just marking it to our book.”  He commented further that, “Goldman was short, and we [FrontPoint] were short.  So when they go to a client and say we’re marking it down, they can say well it wasn’t just our mark.”</w:t>
      </w:r>
    </w:p>
    <w:p w:rsidR="00FD1554" w:rsidRDefault="00FD1554" w:rsidP="00FD1554">
      <w:pPr>
        <w:spacing w:before="100" w:beforeAutospacing="1" w:after="100" w:afterAutospacing="1"/>
        <w:rPr>
          <w:color w:val="000000"/>
        </w:rPr>
      </w:pPr>
      <w:r w:rsidRPr="00CF5098">
        <w:rPr>
          <w:color w:val="000000"/>
        </w:rPr>
        <w:t>This suggests that Goldman was expecting to lower the value of the security</w:t>
      </w:r>
      <w:r>
        <w:rPr>
          <w:color w:val="000000"/>
        </w:rPr>
        <w:t xml:space="preserve"> when it was created by Goldman. </w:t>
      </w:r>
      <w:r w:rsidRPr="00CF5098">
        <w:rPr>
          <w:color w:val="000000"/>
        </w:rPr>
        <w:t xml:space="preserve"> </w:t>
      </w:r>
      <w:r>
        <w:rPr>
          <w:color w:val="000000"/>
        </w:rPr>
        <w:t>This</w:t>
      </w:r>
      <w:r w:rsidRPr="00CF5098">
        <w:rPr>
          <w:color w:val="000000"/>
        </w:rPr>
        <w:t xml:space="preserve"> would require the long investor to make payments to the short investors.  </w:t>
      </w:r>
      <w:r>
        <w:rPr>
          <w:color w:val="000000"/>
        </w:rPr>
        <w:t>Having other short investors would allow Goldman to show the long investors that Goldman was not the only beneficiary of the marks, which would make the marks appear to be more genuine than if Goldman were the sole short investor.</w:t>
      </w:r>
      <w:r w:rsidRPr="00CF5098">
        <w:rPr>
          <w:color w:val="000000"/>
        </w:rPr>
        <w:t xml:space="preserve"> </w:t>
      </w:r>
      <w:r>
        <w:rPr>
          <w:color w:val="000000"/>
        </w:rPr>
        <w:t xml:space="preserve"> If this was done deliberately by Goldman, it raises a potential 10b-5 violation of the 1934 Act.</w:t>
      </w:r>
    </w:p>
    <w:p w:rsidR="00FD1554" w:rsidRPr="00CF5098" w:rsidRDefault="00FD1554" w:rsidP="00FD1554">
      <w:pPr>
        <w:spacing w:before="100" w:beforeAutospacing="1" w:after="100" w:afterAutospacing="1"/>
        <w:rPr>
          <w:color w:val="000000"/>
        </w:rPr>
      </w:pPr>
    </w:p>
    <w:p w:rsidR="00FD1554" w:rsidRPr="00464A4E" w:rsidRDefault="00FD1554" w:rsidP="00FD1554">
      <w:pPr>
        <w:spacing w:before="100" w:beforeAutospacing="1" w:after="100" w:afterAutospacing="1"/>
        <w:ind w:left="1440" w:hanging="1440"/>
        <w:outlineLvl w:val="0"/>
        <w:rPr>
          <w:b/>
          <w:color w:val="000000"/>
          <w:u w:val="single"/>
        </w:rPr>
      </w:pPr>
      <w:r>
        <w:rPr>
          <w:b/>
          <w:color w:val="000000"/>
        </w:rPr>
        <w:t xml:space="preserve">Note Concerning the </w:t>
      </w:r>
      <w:r w:rsidRPr="00591FA3">
        <w:rPr>
          <w:b/>
        </w:rPr>
        <w:t>Failure Objectively to Assess Internal Controls and Procedures</w:t>
      </w:r>
    </w:p>
    <w:p w:rsidR="00FD1554" w:rsidRDefault="00FD1554" w:rsidP="00FD1554">
      <w:pPr>
        <w:rPr>
          <w:color w:val="000000"/>
        </w:rPr>
      </w:pPr>
      <w:r>
        <w:t xml:space="preserve">The Commission’s ultimate report is likely to include discussions of failures of internal controls and risk management systems which should have revealed problems to senior management, investors and regulators.  These problems are similar to those that brought down Enron and Worldcom, which the Sarbanes-Oxley Act (“SOX”) was designed to address.   </w:t>
      </w:r>
      <w:r>
        <w:rPr>
          <w:color w:val="000000"/>
        </w:rPr>
        <w:t>Section</w:t>
      </w:r>
      <w:r>
        <w:t xml:space="preserve"> 404 of SOX requires senior management to (1) accept responsibility for establishing and maintaining an adequate internal control structure and procedures for financial reporting, (2) assess the effectiveness of these systems and (3) provide that the firm’s auditor also attest to management’s assessment of these systems.  Furthermore, Section 302 of SOX (and the rules promulgated by the SEC there under), require issuers to maintain disclosure controls and procedures designed to ensure that information required to be disclosed in the issuer’s reports filed with the SEC under the Exchange Act (e.g. Forms 10-Q and Form 10-K) is accumulated and communicated to the </w:t>
      </w:r>
      <w:r>
        <w:lastRenderedPageBreak/>
        <w:t>issuer’s management (including its CEO and CFO), in order to allow timely decisions regarding required disclosure.  Section 302 further requires CEOs and CFOs to make a number of certifications in their quarterly and annual reports</w:t>
      </w:r>
      <w:r>
        <w:rPr>
          <w:color w:val="000000"/>
        </w:rPr>
        <w:t>.</w:t>
      </w:r>
    </w:p>
    <w:p w:rsidR="00FD1554" w:rsidRPr="009D1EA2" w:rsidRDefault="00FD1554" w:rsidP="00FD1554"/>
    <w:p w:rsidR="00FD1554" w:rsidRPr="00042068" w:rsidRDefault="00FD1554" w:rsidP="00FD1554">
      <w:r>
        <w:t>Given the failure of financial reporting and risk management systems at some of the firms mentioned above (Fannie Mae, Citigroup and AIG), after further review by the staff of potential violations of section 404, in addition to the violations of section 302 already discussed, section 404 violations may be included in the referral letter to the Attorney General as well.</w:t>
      </w:r>
    </w:p>
    <w:p w:rsidR="00643266" w:rsidRDefault="00643266">
      <w:pPr>
        <w:rPr>
          <w:sz w:val="16"/>
          <w:szCs w:val="20"/>
        </w:rPr>
      </w:pPr>
      <w:r>
        <w:rPr>
          <w:sz w:val="16"/>
          <w:szCs w:val="20"/>
        </w:rPr>
        <w:br w:type="page"/>
      </w:r>
    </w:p>
    <w:p w:rsidR="00FD1554" w:rsidRDefault="00FD1554" w:rsidP="00643266"/>
    <w:p w:rsidR="00643266" w:rsidRPr="0027324E" w:rsidRDefault="00643266" w:rsidP="00643266">
      <w:pPr>
        <w:jc w:val="center"/>
        <w:rPr>
          <w:b/>
          <w:bCs/>
        </w:rPr>
      </w:pPr>
      <w:r w:rsidRPr="0027324E">
        <w:rPr>
          <w:b/>
          <w:noProof/>
        </w:rPr>
        <w:drawing>
          <wp:inline distT="0" distB="0" distL="0" distR="0">
            <wp:extent cx="1238250" cy="1304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643266" w:rsidRPr="0027324E" w:rsidRDefault="00643266" w:rsidP="00643266">
      <w:pPr>
        <w:jc w:val="center"/>
        <w:outlineLvl w:val="0"/>
        <w:rPr>
          <w:b/>
        </w:rPr>
      </w:pPr>
      <w:r w:rsidRPr="0027324E">
        <w:rPr>
          <w:b/>
        </w:rPr>
        <w:t>Financial Crisis Inquiry Commission</w:t>
      </w:r>
    </w:p>
    <w:p w:rsidR="00643266" w:rsidRPr="0027324E" w:rsidRDefault="00643266" w:rsidP="00643266">
      <w:pPr>
        <w:jc w:val="center"/>
        <w:rPr>
          <w:b/>
        </w:rPr>
      </w:pPr>
      <w:r w:rsidRPr="0027324E">
        <w:rPr>
          <w:b/>
        </w:rPr>
        <w:t xml:space="preserve">Agenda Item </w:t>
      </w:r>
      <w:r>
        <w:rPr>
          <w:b/>
        </w:rPr>
        <w:t>8</w:t>
      </w:r>
      <w:r w:rsidRPr="0027324E">
        <w:rPr>
          <w:b/>
        </w:rPr>
        <w:t xml:space="preserve"> for Telephonic Business Meeting of </w:t>
      </w:r>
      <w:r>
        <w:rPr>
          <w:b/>
        </w:rPr>
        <w:t>October 12</w:t>
      </w:r>
      <w:r w:rsidRPr="0027324E">
        <w:rPr>
          <w:b/>
        </w:rPr>
        <w:t>, 2010</w:t>
      </w:r>
    </w:p>
    <w:p w:rsidR="00643266" w:rsidRPr="0027324E" w:rsidRDefault="00643266" w:rsidP="00643266">
      <w:pPr>
        <w:jc w:val="center"/>
        <w:rPr>
          <w:i/>
        </w:rPr>
      </w:pPr>
    </w:p>
    <w:p w:rsidR="00643266" w:rsidRPr="0027324E" w:rsidRDefault="00643266" w:rsidP="00643266">
      <w:pPr>
        <w:jc w:val="center"/>
        <w:rPr>
          <w:b/>
        </w:rPr>
      </w:pPr>
      <w:r w:rsidRPr="0027324E">
        <w:rPr>
          <w:b/>
        </w:rPr>
        <w:t>Confidential Referral Memorandum</w:t>
      </w:r>
      <w:r>
        <w:rPr>
          <w:b/>
        </w:rPr>
        <w:t xml:space="preserve"> Supplement</w:t>
      </w:r>
    </w:p>
    <w:p w:rsidR="00643266" w:rsidRPr="0027324E" w:rsidRDefault="00643266" w:rsidP="00643266">
      <w:pPr>
        <w:jc w:val="center"/>
        <w:rPr>
          <w:b/>
        </w:rPr>
      </w:pPr>
    </w:p>
    <w:p w:rsidR="00643266" w:rsidRPr="0027324E" w:rsidRDefault="00643266" w:rsidP="00643266">
      <w:pPr>
        <w:jc w:val="center"/>
      </w:pPr>
    </w:p>
    <w:p w:rsidR="00643266" w:rsidRPr="0027324E" w:rsidRDefault="00643266" w:rsidP="00643266">
      <w:pPr>
        <w:outlineLvl w:val="0"/>
      </w:pPr>
      <w:r w:rsidRPr="0027324E">
        <w:t xml:space="preserve">FROM:  </w:t>
      </w:r>
      <w:r w:rsidRPr="0027324E">
        <w:tab/>
        <w:t>Financial Crisis Inquiry Commission Legal Staff</w:t>
      </w:r>
    </w:p>
    <w:p w:rsidR="00643266" w:rsidRPr="0027324E" w:rsidRDefault="00643266" w:rsidP="00643266"/>
    <w:p w:rsidR="00643266" w:rsidRPr="0027324E" w:rsidRDefault="00643266" w:rsidP="00643266">
      <w:r w:rsidRPr="0027324E">
        <w:t xml:space="preserve">TO: </w:t>
      </w:r>
      <w:r w:rsidRPr="0027324E">
        <w:tab/>
      </w:r>
      <w:r w:rsidRPr="0027324E">
        <w:tab/>
        <w:t>Commissioners of the Financial Crisis Inquiry Commission</w:t>
      </w:r>
    </w:p>
    <w:p w:rsidR="00643266" w:rsidRPr="0027324E" w:rsidRDefault="00643266" w:rsidP="00643266"/>
    <w:p w:rsidR="00643266" w:rsidRPr="0027324E" w:rsidRDefault="00643266" w:rsidP="00643266">
      <w:r w:rsidRPr="0027324E">
        <w:t>Cc:</w:t>
      </w:r>
      <w:r w:rsidRPr="0027324E">
        <w:tab/>
      </w:r>
      <w:r w:rsidRPr="0027324E">
        <w:tab/>
        <w:t xml:space="preserve">Wendy Edelberg </w:t>
      </w:r>
    </w:p>
    <w:p w:rsidR="00643266" w:rsidRPr="0027324E" w:rsidRDefault="00643266" w:rsidP="00643266">
      <w:r w:rsidRPr="0027324E">
        <w:tab/>
      </w:r>
      <w:r w:rsidRPr="0027324E">
        <w:tab/>
      </w:r>
    </w:p>
    <w:p w:rsidR="00643266" w:rsidRPr="0027324E" w:rsidRDefault="00643266" w:rsidP="00643266">
      <w:r w:rsidRPr="0027324E">
        <w:t xml:space="preserve">DATE: </w:t>
      </w:r>
      <w:r w:rsidRPr="0027324E">
        <w:tab/>
        <w:t>October  1</w:t>
      </w:r>
      <w:r>
        <w:t>1</w:t>
      </w:r>
      <w:r w:rsidRPr="0027324E">
        <w:t>, 2010</w:t>
      </w:r>
    </w:p>
    <w:p w:rsidR="00643266" w:rsidRPr="0027324E" w:rsidRDefault="00643266" w:rsidP="00643266"/>
    <w:p w:rsidR="00643266" w:rsidRPr="0027324E" w:rsidRDefault="00643266" w:rsidP="00643266">
      <w:r w:rsidRPr="0027324E">
        <w:t xml:space="preserve">RE: </w:t>
      </w:r>
      <w:r w:rsidRPr="0027324E">
        <w:tab/>
      </w:r>
      <w:r w:rsidRPr="0027324E">
        <w:tab/>
        <w:t>Confidential Referral Memorandum Supplement</w:t>
      </w:r>
    </w:p>
    <w:p w:rsidR="00643266" w:rsidRPr="0027324E" w:rsidRDefault="00643266" w:rsidP="00643266"/>
    <w:p w:rsidR="00643266" w:rsidRPr="0027324E" w:rsidRDefault="00787094" w:rsidP="00643266">
      <w:r>
        <w:rPr>
          <w:noProof/>
        </w:rPr>
        <w:pict>
          <v:shape id="_x0000_s1028" type="#_x0000_t32" style="position:absolute;margin-left:2.25pt;margin-top:7.35pt;width:434.25pt;height:0;z-index:251662336" o:connectortype="straight"/>
        </w:pict>
      </w:r>
    </w:p>
    <w:p w:rsidR="00643266" w:rsidRPr="0027324E" w:rsidRDefault="00643266" w:rsidP="00643266">
      <w:pPr>
        <w:spacing w:after="200" w:line="276" w:lineRule="auto"/>
        <w:jc w:val="both"/>
      </w:pPr>
      <w:r w:rsidRPr="0027324E">
        <w:t xml:space="preserve">Pursuant to section 5(c) (4) of the Fraud Enforcement and Recovery Act of 2009, one function of the Financial Crisis Inquiry Commission is to: </w:t>
      </w:r>
    </w:p>
    <w:p w:rsidR="00643266" w:rsidRPr="0027324E" w:rsidRDefault="00643266" w:rsidP="00643266">
      <w:pPr>
        <w:spacing w:after="200" w:line="276" w:lineRule="auto"/>
        <w:ind w:left="720"/>
        <w:jc w:val="both"/>
      </w:pPr>
      <w:r w:rsidRPr="0027324E">
        <w:t>refer to the Attorney General of the United States and any State attorney general any person that the Commission finds may have violated the laws of the United States in relation to such crisis.</w:t>
      </w:r>
    </w:p>
    <w:p w:rsidR="00643266" w:rsidRPr="0027324E" w:rsidRDefault="00643266" w:rsidP="00643266">
      <w:pPr>
        <w:spacing w:after="200" w:line="276" w:lineRule="auto"/>
        <w:jc w:val="both"/>
      </w:pPr>
      <w:r w:rsidRPr="0027324E">
        <w:t>This Confidential Referral Memorandum Supplement is further to our prior Memorandum of September 12, 2010</w:t>
      </w:r>
      <w:r>
        <w:t>,</w:t>
      </w:r>
      <w:r w:rsidRPr="0027324E">
        <w:t xml:space="preserve"> discussed at the Commission's Telephonic Business Meeting of September 14, 2010 .</w:t>
      </w:r>
    </w:p>
    <w:p w:rsidR="00643266" w:rsidRDefault="00643266" w:rsidP="00643266">
      <w:pPr>
        <w:spacing w:after="200" w:line="276" w:lineRule="auto"/>
        <w:jc w:val="both"/>
      </w:pPr>
      <w:r w:rsidRPr="0027324E">
        <w:rPr>
          <w:b/>
        </w:rPr>
        <w:t>Merrill Lynch &amp; Co.</w:t>
      </w:r>
      <w:r>
        <w:rPr>
          <w:b/>
        </w:rPr>
        <w:t>, Inc.</w:t>
      </w:r>
      <w:r w:rsidRPr="0027324E">
        <w:rPr>
          <w:b/>
        </w:rPr>
        <w:t xml:space="preserve">  </w:t>
      </w:r>
      <w:r w:rsidRPr="0027324E">
        <w:t xml:space="preserve">Evidence discovered during the investigation of Merrill Lynch &amp; Co., Inc. (“Merrill”) indicates </w:t>
      </w:r>
    </w:p>
    <w:p w:rsidR="00643266" w:rsidRDefault="00643266" w:rsidP="00643266">
      <w:pPr>
        <w:spacing w:after="200" w:line="276" w:lineRule="auto"/>
        <w:ind w:left="720"/>
        <w:jc w:val="both"/>
      </w:pPr>
      <w:r>
        <w:t xml:space="preserve">(1) </w:t>
      </w:r>
      <w:r w:rsidRPr="0027324E">
        <w:t>that former CEO Stanley O’Neal and former CFO Jeffrey Edwards may have violated the federal securities laws by making materially false and misleading representations and omissions about (</w:t>
      </w:r>
      <w:r>
        <w:t>a</w:t>
      </w:r>
      <w:r w:rsidRPr="0027324E">
        <w:t>) Merrill’s exposures to retained CDO positions, (</w:t>
      </w:r>
      <w:r>
        <w:t>b</w:t>
      </w:r>
      <w:r w:rsidRPr="0027324E">
        <w:t>) the value of those positions and (</w:t>
      </w:r>
      <w:r>
        <w:t>c</w:t>
      </w:r>
      <w:r w:rsidRPr="0027324E">
        <w:t xml:space="preserve">) the firm’s risk management. </w:t>
      </w:r>
    </w:p>
    <w:p w:rsidR="00643266" w:rsidRDefault="00643266" w:rsidP="00643266">
      <w:pPr>
        <w:spacing w:after="200" w:line="276" w:lineRule="auto"/>
        <w:ind w:left="720"/>
        <w:jc w:val="both"/>
      </w:pPr>
      <w:r>
        <w:t xml:space="preserve">(2) </w:t>
      </w:r>
      <w:r w:rsidRPr="0027324E">
        <w:t xml:space="preserve">that Merrill may have made materially false and misleading representations in the offering documents related to the $1.5 billion Norma CDO issued in March 2007. </w:t>
      </w:r>
    </w:p>
    <w:p w:rsidR="00643266" w:rsidRDefault="00643266" w:rsidP="00643266">
      <w:pPr>
        <w:spacing w:after="200" w:line="276" w:lineRule="auto"/>
        <w:ind w:left="720"/>
        <w:jc w:val="both"/>
        <w:rPr>
          <w:b/>
        </w:rPr>
      </w:pPr>
      <w:r>
        <w:lastRenderedPageBreak/>
        <w:t xml:space="preserve">(3)  Merrill may have aided and abetted fraud or breaches of fiduciary duty by collateral managers to the investors in the CDOs they managed by purchasing CDO tranches from Merrill without performing sufficient due diligence because Merrill told the collateral managers that they would not be retained as collateral managers unless they purchased collateral from Merrill for the CDOs they managed.   </w:t>
      </w:r>
    </w:p>
    <w:p w:rsidR="00643266" w:rsidRPr="0027324E" w:rsidRDefault="00643266" w:rsidP="00643266">
      <w:pPr>
        <w:spacing w:after="200" w:line="276" w:lineRule="auto"/>
        <w:jc w:val="both"/>
        <w:rPr>
          <w:b/>
        </w:rPr>
      </w:pPr>
      <w:r w:rsidRPr="0027324E">
        <w:rPr>
          <w:b/>
        </w:rPr>
        <w:t>Possible False and Misleading Statements and Omissions About Merrill’s Risk Management, Retained CDO Positions and the Value of the Retained CDO Positions</w:t>
      </w:r>
    </w:p>
    <w:p w:rsidR="00643266" w:rsidRPr="0027324E" w:rsidRDefault="00643266" w:rsidP="00643266">
      <w:pPr>
        <w:keepNext/>
        <w:keepLines/>
        <w:spacing w:after="200" w:line="276" w:lineRule="auto"/>
        <w:jc w:val="both"/>
      </w:pPr>
      <w:r w:rsidRPr="0027324E">
        <w:rPr>
          <w:b/>
        </w:rPr>
        <w:t xml:space="preserve">Buildup of Retained CDO Positions. </w:t>
      </w:r>
      <w:r w:rsidRPr="0027324E">
        <w:t>Documents produced by Merrill</w:t>
      </w:r>
      <w:r>
        <w:t xml:space="preserve"> to the FCIC staff</w:t>
      </w:r>
      <w:r w:rsidRPr="0027324E">
        <w:t xml:space="preserve">, including a 9/26/07 Market Risk Management Update show that Merrill’s “net” exposures to ABS CDOs increased from $7.2 billion as of 8/31/06 to $32.2 billion as of 7/07.  </w:t>
      </w:r>
    </w:p>
    <w:p w:rsidR="00643266" w:rsidRPr="0027324E" w:rsidRDefault="00643266" w:rsidP="00643266">
      <w:pPr>
        <w:spacing w:line="276" w:lineRule="auto"/>
        <w:jc w:val="center"/>
        <w:rPr>
          <w:b/>
          <w:i/>
        </w:rPr>
      </w:pPr>
      <w:r w:rsidRPr="0027324E">
        <w:rPr>
          <w:b/>
          <w:i/>
        </w:rPr>
        <w:t>Merrill ABS CDO Positions – Net (in millions)</w:t>
      </w:r>
    </w:p>
    <w:p w:rsidR="00643266" w:rsidRPr="0027324E" w:rsidRDefault="00643266" w:rsidP="00643266">
      <w:pPr>
        <w:spacing w:after="200" w:line="276" w:lineRule="auto"/>
        <w:jc w:val="center"/>
      </w:pPr>
      <w:r w:rsidRPr="0027324E">
        <w:rPr>
          <w:noProof/>
        </w:rPr>
        <w:drawing>
          <wp:inline distT="0" distB="0" distL="0" distR="0">
            <wp:extent cx="3429000" cy="22955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429000" cy="2295525"/>
                    </a:xfrm>
                    <a:prstGeom prst="rect">
                      <a:avLst/>
                    </a:prstGeom>
                    <a:noFill/>
                    <a:ln w="9525">
                      <a:noFill/>
                      <a:miter lim="800000"/>
                      <a:headEnd/>
                      <a:tailEnd/>
                    </a:ln>
                  </pic:spPr>
                </pic:pic>
              </a:graphicData>
            </a:graphic>
          </wp:inline>
        </w:drawing>
      </w:r>
    </w:p>
    <w:p w:rsidR="00643266" w:rsidRPr="0027324E" w:rsidRDefault="00643266" w:rsidP="00643266">
      <w:pPr>
        <w:spacing w:after="200" w:line="276" w:lineRule="auto"/>
        <w:jc w:val="both"/>
      </w:pPr>
      <w:r w:rsidRPr="0027324E">
        <w:t xml:space="preserve">A December 3, 2007 presentation to the Merrill Board of Directors showed that Merrill’s “net” ABS CDO exposures </w:t>
      </w:r>
      <w:r>
        <w:t>varied from</w:t>
      </w:r>
      <w:r w:rsidRPr="0027324E">
        <w:t xml:space="preserve"> the amounts shown in the September 26, 2007 presentation and certain earnings calls:  $18.9 billion as of September 30, 2006 (not $9.3 billion), $28.5 billion as of December 31, 2006, $31.5 billion as of March 31, 2007 (not $25.4 billion), $33.9 billion as of June 30, 2007 (not $30.4 billion), $15.8 billion as of September 30, 2007 (not $25.5 billion), and $14.6 billion as of October 31, 2007.  </w:t>
      </w:r>
    </w:p>
    <w:p w:rsidR="00643266" w:rsidRPr="0027324E" w:rsidRDefault="00643266" w:rsidP="00643266">
      <w:pPr>
        <w:spacing w:after="200" w:line="276" w:lineRule="auto"/>
        <w:jc w:val="both"/>
      </w:pPr>
      <w:r w:rsidRPr="0027324E">
        <w:t xml:space="preserve">Dow Kim, the former co-president of Merrill’s Global Markets and Investment Banking (“GMI”) segment told FCIC staff that the buildup of the retained CDO positions was part of a strategy begun in late 2006 to reduce the firm’s warehouse exposure to subprime.  </w:t>
      </w:r>
    </w:p>
    <w:p w:rsidR="00643266" w:rsidRPr="0027324E" w:rsidRDefault="00643266" w:rsidP="00643266">
      <w:pPr>
        <w:spacing w:after="200" w:line="276" w:lineRule="auto"/>
        <w:jc w:val="both"/>
      </w:pPr>
      <w:r w:rsidRPr="0027324E">
        <w:t>In a 3/30/07 memo prepared by the SEC’s Office of Prudential Supervision and Risk Analysis (“OPSRA”), it was reported that Merrill was “actively pushing their subprime mortgage inventory into several ABS CDO deals” because there was an increase in the demand for lower rated tranches of ABS CDOs, particularly from hedge funds.  It was also reported that Merrill was “experiencing difficulty in placing the higher rated product, causing the desk to bump up against its limits.”</w:t>
      </w:r>
    </w:p>
    <w:p w:rsidR="00643266" w:rsidRDefault="00643266" w:rsidP="00643266">
      <w:pPr>
        <w:spacing w:after="200" w:line="276" w:lineRule="auto"/>
        <w:jc w:val="both"/>
      </w:pPr>
      <w:r w:rsidRPr="0027324E">
        <w:lastRenderedPageBreak/>
        <w:t xml:space="preserve">An “ABS Warehouse/CDO Inventory Chronology” produced by Merrill reported deterioration in the ABS CDO market from 3/07 to 5/07 and further increases in ABS CDO inventory.  Specifically, it was reported that from 3/07-5/07 (1) Merrill began an active risk-mitigation strategy, (2) Merrill’s warehouse declined to $3.5 billion while inventory increased to $30.7 billion as the firm actively reduced the warehouse by printing deals, (3) Merrill was required to </w:t>
      </w:r>
      <w:r>
        <w:t>retain</w:t>
      </w:r>
      <w:r w:rsidRPr="0027324E">
        <w:t xml:space="preserve"> senior and mezzanine tranches to </w:t>
      </w:r>
      <w:r>
        <w:t>complete</w:t>
      </w:r>
      <w:r w:rsidRPr="0027324E">
        <w:t xml:space="preserve"> deals, (4) Merrill had to enhance mezzanine tranches to the detriment of senior tranches to </w:t>
      </w:r>
      <w:r>
        <w:t>complete</w:t>
      </w:r>
      <w:r w:rsidRPr="0027324E">
        <w:t xml:space="preserve"> deals, (5) there was a market for selling senior and mezzanine tranches but at a loss, and (6) $10 billion of deals were </w:t>
      </w:r>
      <w:r>
        <w:t xml:space="preserve">completed </w:t>
      </w:r>
      <w:r w:rsidRPr="0027324E">
        <w:t>with Merrill taking significant senior and mezzanine tranches into inventory.</w:t>
      </w:r>
    </w:p>
    <w:p w:rsidR="00643266" w:rsidRPr="007542C9" w:rsidRDefault="00643266" w:rsidP="00643266">
      <w:pPr>
        <w:spacing w:after="200" w:line="276" w:lineRule="auto"/>
        <w:jc w:val="both"/>
      </w:pPr>
      <w:r>
        <w:t xml:space="preserve">During a July 22, 2007 Finance Committee Meeting and a July 23, 2007 Board of Directors meeting, it was reported that Merrill’s retained CDO interests were approximately $32 billion due to </w:t>
      </w:r>
      <w:r w:rsidRPr="00773365">
        <w:t xml:space="preserve">a risk transformation strategy </w:t>
      </w:r>
      <w:r>
        <w:t xml:space="preserve">begun in 12/06 that </w:t>
      </w:r>
      <w:r w:rsidRPr="00773365">
        <w:t>reduce</w:t>
      </w:r>
      <w:r>
        <w:t>d substan</w:t>
      </w:r>
      <w:r w:rsidRPr="00773365">
        <w:t>tial warehouse risk by securit</w:t>
      </w:r>
      <w:r>
        <w:t xml:space="preserve">izing and hedging the warehouse. Both meetings were attended by Mr. O’Neal and Mr. Edwards. Mr. O’Neal told FCIC staff this was the first time he learned of the retained CDO positions but the initiation of the risk transformation strategy in 12/06, the buildup of retained CDO positions shortly thereafter and other documents indicate he may have known earlier.   For example, during an April 26, 2007 Board meeting, it was </w:t>
      </w:r>
      <w:r w:rsidRPr="007542C9">
        <w:t xml:space="preserve">reported that Merrill was pursuing an active risk mitigation strategy </w:t>
      </w:r>
      <w:r>
        <w:t xml:space="preserve">that included </w:t>
      </w:r>
      <w:r w:rsidRPr="007542C9">
        <w:t xml:space="preserve">(1) reducing warehouse loans, (2) discontinuing whole loan purchases, (3) reducing originations by First Franklin, </w:t>
      </w:r>
      <w:r>
        <w:t xml:space="preserve">and </w:t>
      </w:r>
      <w:r w:rsidRPr="007542C9">
        <w:t>(4) limiting the level of retained residual interests which were $1.5 billion as of 4/07 and projected to be $1.6 billion in 6/07.</w:t>
      </w:r>
      <w:r w:rsidRPr="007542C9">
        <w:rPr>
          <w:vertAlign w:val="superscript"/>
        </w:rPr>
        <w:footnoteReference w:id="26"/>
      </w:r>
      <w:r>
        <w:t xml:space="preserve"> </w:t>
      </w:r>
      <w:r w:rsidRPr="00494A22">
        <w:t>I</w:t>
      </w:r>
      <w:r>
        <w:t>n addition, i</w:t>
      </w:r>
      <w:r w:rsidRPr="00494A22">
        <w:t xml:space="preserve">t was reported in a summary of a 11/29/07 meeting between Merrill executives (including CFO Edwards) and the Federal Reserve that “senior executives were involved in key determinations about the subprime-related businesses at Merrill </w:t>
      </w:r>
      <w:r w:rsidRPr="00494A22">
        <w:rPr>
          <w:b/>
          <w:i/>
        </w:rPr>
        <w:t xml:space="preserve">throughout 2007” </w:t>
      </w:r>
      <w:r w:rsidRPr="00494A22">
        <w:t xml:space="preserve"> and that “senior executives get regular risk reports as a matter of course and were involved in discussions about the business, particularly focused on First Franklin in the first half of the year and later the CDO business.”</w:t>
      </w:r>
      <w:r w:rsidRPr="00494A22">
        <w:rPr>
          <w:vertAlign w:val="superscript"/>
        </w:rPr>
        <w:footnoteReference w:id="27"/>
      </w:r>
      <w:r>
        <w:t xml:space="preserve"> </w:t>
      </w:r>
    </w:p>
    <w:p w:rsidR="00643266" w:rsidRPr="0027324E" w:rsidRDefault="00643266" w:rsidP="00643266">
      <w:pPr>
        <w:spacing w:after="200" w:line="276" w:lineRule="auto"/>
        <w:jc w:val="both"/>
      </w:pPr>
      <w:r w:rsidRPr="0027324E">
        <w:rPr>
          <w:b/>
        </w:rPr>
        <w:t xml:space="preserve">1Q07 Earnings Conference Call. </w:t>
      </w:r>
      <w:r w:rsidRPr="0027324E">
        <w:t xml:space="preserve">On April 19, 2007, Merrill reported 1Q07 results - its second highest quarterly revenues ever and record net revenues from the FICC (Fixed Income, Currencies and Commodities) business (the business housing the increased retained ABS CDO positions) but Merrill failed to disclose the increase in the ABS CDO positions or the fact that the firm was only able to sell senior and mezzanine CDO tranches at a loss even though analysts asked about Merrill’s exposure to subprime.  </w:t>
      </w:r>
    </w:p>
    <w:p w:rsidR="00643266" w:rsidRPr="0027324E" w:rsidRDefault="00643266" w:rsidP="00643266">
      <w:pPr>
        <w:spacing w:after="200" w:line="276" w:lineRule="auto"/>
        <w:jc w:val="both"/>
      </w:pPr>
      <w:r w:rsidRPr="0027324E">
        <w:t xml:space="preserve">During the conference call, then CFO Edwards indicated that Merrill’s results would not be adversely affected by the dislocation in the subprime market because “revenues from subprime mortgage-related activities comprise[d] less than 1% of our net revenues” over the last five quarters, and because Merrill’s “risk management capabilities are better than ever, and crucial to our success in navigating turbulent markets.” He provided further assurances, stating, “we </w:t>
      </w:r>
      <w:r w:rsidRPr="0027324E">
        <w:lastRenderedPageBreak/>
        <w:t>believe the issues in this narrow slice of the market remain contained and have not negatively impacted other sectors.”</w:t>
      </w:r>
    </w:p>
    <w:p w:rsidR="00643266" w:rsidRPr="0027324E" w:rsidRDefault="00643266" w:rsidP="00643266">
      <w:pPr>
        <w:spacing w:after="200" w:line="276" w:lineRule="auto"/>
        <w:jc w:val="both"/>
      </w:pPr>
      <w:r w:rsidRPr="0027324E">
        <w:t xml:space="preserve">Analysts </w:t>
      </w:r>
      <w:r>
        <w:t xml:space="preserve">indicated that they </w:t>
      </w:r>
      <w:r w:rsidRPr="0027324E">
        <w:t xml:space="preserve">understood the message </w:t>
      </w:r>
      <w:r>
        <w:t xml:space="preserve">to be </w:t>
      </w:r>
      <w:r w:rsidRPr="0027324E">
        <w:t>that the dislocation in the subprime market had not adversely impacted Merrill but asked Edwards if Merrill was changing its risk appetite</w:t>
      </w:r>
      <w:r>
        <w:t>.</w:t>
      </w:r>
      <w:r w:rsidRPr="0027324E">
        <w:t xml:space="preserve">  Edwards said nothing about the increase in retained ABS CDO positions or the fact that Merrill was selling ABS CDOs at a loss, repeated the importance of Merrill’s risk management and said the FICC business “powered right through” the dislocation in the subprime market. </w:t>
      </w:r>
    </w:p>
    <w:p w:rsidR="00643266" w:rsidRPr="0027324E" w:rsidRDefault="00643266" w:rsidP="00643266">
      <w:pPr>
        <w:spacing w:after="200" w:line="276" w:lineRule="auto"/>
        <w:ind w:left="720" w:right="720"/>
        <w:jc w:val="both"/>
      </w:pPr>
      <w:r w:rsidRPr="0027324E">
        <w:t xml:space="preserve">Well, let me make a couple of points about that.  Certainly risk management, as I said in the prepared remarks, is a crucial aspect of our business.  I think we have done a very good job in negotiating these markets as a result of that.  So how are we approaching that? We are certainly looking at new ways to do business where there are opportunities for us to either share risk or pre-sell some of the risk and still do good business.  So I think we are approaching it in a prudent way given the environment. </w:t>
      </w:r>
    </w:p>
    <w:p w:rsidR="00643266" w:rsidRPr="0027324E" w:rsidRDefault="00643266" w:rsidP="00643266">
      <w:pPr>
        <w:spacing w:after="200" w:line="276" w:lineRule="auto"/>
        <w:ind w:left="720" w:right="720"/>
        <w:jc w:val="both"/>
      </w:pPr>
      <w:r w:rsidRPr="0027324E">
        <w:t xml:space="preserve">But let me just reiterate that in these markets, in these asset classes, it is important to recognize that there are going to be periods of dislocation.  This particular quarter, there was one in the U.S. subprime business and it’s, as you point out, it is important to react to that.  But its is going to – as part of a broader portfolio of businesses, you are able to deal with those types of markets.  As you can see, the fixed income business just powered right through that. </w:t>
      </w:r>
    </w:p>
    <w:p w:rsidR="00643266" w:rsidRPr="0027324E" w:rsidRDefault="00643266" w:rsidP="00643266">
      <w:pPr>
        <w:spacing w:after="200" w:line="276" w:lineRule="auto"/>
        <w:jc w:val="both"/>
      </w:pPr>
      <w:r w:rsidRPr="0027324E">
        <w:t xml:space="preserve">Edwards responded </w:t>
      </w:r>
      <w:r>
        <w:t xml:space="preserve">to a question about CDO trends </w:t>
      </w:r>
      <w:r w:rsidRPr="0027324E">
        <w:t xml:space="preserve">that Merrill was able to price 28 CDO transactions during the quarter but said nothing about the increase in retained ABS CDO positions or the fact that ABS CDO tranches were being sold at a loss. </w:t>
      </w:r>
    </w:p>
    <w:p w:rsidR="00643266" w:rsidRPr="0027324E" w:rsidRDefault="00643266" w:rsidP="00643266">
      <w:pPr>
        <w:spacing w:after="200" w:line="276" w:lineRule="auto"/>
        <w:jc w:val="both"/>
      </w:pPr>
      <w:r w:rsidRPr="0027324E">
        <w:t>In response to a question about whether there were “any big shifts since the beginning of the year” in “the level of [] overall retained interest for mortgage securitizations,” Edwards failed to disclose the increase and stated that the majority of retained interests were “investment grade rated securities that are either part of our CDO warehouse or the result of securitizations that are effectively in inventory, that we intend to sell on to investors” and that there was “only a small part that reflects the sub-prime residuals.”</w:t>
      </w:r>
    </w:p>
    <w:p w:rsidR="00643266" w:rsidRPr="0027324E" w:rsidRDefault="00643266" w:rsidP="00643266">
      <w:pPr>
        <w:spacing w:after="200" w:line="276" w:lineRule="auto"/>
        <w:jc w:val="both"/>
      </w:pPr>
      <w:r w:rsidRPr="0027324E">
        <w:rPr>
          <w:b/>
        </w:rPr>
        <w:t xml:space="preserve">2Q07 Earnings Conference Call. </w:t>
      </w:r>
      <w:r w:rsidRPr="0027324E">
        <w:t xml:space="preserve">On July 17, 2007, Merrill reported 2Q07 results including “very strong net revenues, net earnings and earnings per diluted share for the second quarter of 2007, which enabled the company to achieve record net revenues, net earnings and net earnings per diluted share for the first half of 2007.” During the conference call, CFO Edwards repeated the results reported in the press release and after completing his prepared remarks, UBS analyst Glenn Schorr asked Edwards to provide some color on Merrill’s exposure to retained ABS CDO positions. Similar to the 1Q07 earnings conference call, Edwards stressed Merrill’s risk management and the fact that the CDO business was a small part of Merrill’s overall business. </w:t>
      </w:r>
      <w:r w:rsidRPr="0027324E">
        <w:lastRenderedPageBreak/>
        <w:t>He also said that there were significant reductions in Merrill’s exposures to lower-rated segments of the market</w:t>
      </w:r>
      <w:r>
        <w:t xml:space="preserve">.  However, </w:t>
      </w:r>
      <w:r w:rsidRPr="0027324E">
        <w:t>the “net” exposure of Merrill’s ABS CDO retained interests had increased from $17.3 billion in January 2007 to $25.4 billion in March 2007 and to $30.4 billion in June 2007</w:t>
      </w:r>
      <w:r>
        <w:t xml:space="preserve">.  Edwards failure to disclose the increase in CDO exposure could be construed as material information that made his statements about reductions in exposures to lower-rated segments of the market misleading. </w:t>
      </w:r>
    </w:p>
    <w:p w:rsidR="00643266" w:rsidRPr="0027324E" w:rsidRDefault="00643266" w:rsidP="00643266">
      <w:pPr>
        <w:spacing w:after="200" w:line="276" w:lineRule="auto"/>
        <w:jc w:val="both"/>
      </w:pPr>
      <w:r w:rsidRPr="0027324E">
        <w:t xml:space="preserve">Deutsche Bank analyst Mike Mayo asked Edwards to disclose the level of assets related to subprime mortgages, CDOs and warehouse lines so he would know how much of the firm’s capital was at risk from these asset classes but Edwards responded that “we don’t disclose our capital allocations against any specific or even broader group.” </w:t>
      </w:r>
    </w:p>
    <w:p w:rsidR="00643266" w:rsidRDefault="00643266" w:rsidP="00643266">
      <w:pPr>
        <w:spacing w:after="200" w:line="276" w:lineRule="auto"/>
        <w:jc w:val="both"/>
      </w:pPr>
      <w:r w:rsidRPr="0027324E">
        <w:rPr>
          <w:b/>
        </w:rPr>
        <w:t xml:space="preserve">3Q07 Earnings Call and Disclosure of CDO Losses but Refusal to Provide Gross Exposures. </w:t>
      </w:r>
      <w:r w:rsidRPr="0027324E">
        <w:t xml:space="preserve">On 10/24/07, Merrill reported 3Q07 results including a net loss from continuing operations of $2.3 billion, or $2.85 per diluted share.  The results included write-downs of $7.9 billion related to the retained CDOs ($6.9 billion) and U.S. sub-prime mortgages ($1.0 billion). Merrill also reported for the first time its net exposures to retained CDO positions, which were $15.2 billion. The disclosure of the retained CDO exposures and related write-downs indicate that the statements made by Edwards during the 1Q07 and 2Q07 earnings calls may have been materially false and misleading. In addition, O’Neal and Edwards may have made materially false and misleading representations or omissions during the 10/24/07 conference call. First, the amount of subsequent write-downs indicates that it is possible Edwards and O’Neal knew that the reported 3Q07 write-downs were insufficient.   As shown below, Merrill reported more than $20 billion of additional CDO-related write-downs over the next 5 quarters. </w:t>
      </w:r>
    </w:p>
    <w:p w:rsidR="00643266" w:rsidRDefault="00643266" w:rsidP="00643266">
      <w:pPr>
        <w:spacing w:after="200" w:line="276" w:lineRule="auto"/>
        <w:jc w:val="center"/>
        <w:rPr>
          <w:b/>
          <w:i/>
        </w:rPr>
      </w:pPr>
      <w:r w:rsidRPr="0027324E">
        <w:rPr>
          <w:b/>
          <w:i/>
        </w:rPr>
        <w:t>Write-Downs and Credit Valuation Allowances (in billions)</w:t>
      </w:r>
    </w:p>
    <w:p w:rsidR="00643266" w:rsidRDefault="00643266" w:rsidP="00643266">
      <w:pPr>
        <w:spacing w:after="200" w:line="276" w:lineRule="auto"/>
        <w:jc w:val="center"/>
      </w:pPr>
      <w:r w:rsidRPr="0027324E">
        <w:rPr>
          <w:noProof/>
        </w:rPr>
        <w:drawing>
          <wp:inline distT="0" distB="0" distL="0" distR="0">
            <wp:extent cx="6047105" cy="2294890"/>
            <wp:effectExtent l="1905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6047105" cy="2294890"/>
                    </a:xfrm>
                    <a:prstGeom prst="rect">
                      <a:avLst/>
                    </a:prstGeom>
                    <a:noFill/>
                    <a:ln w="9525">
                      <a:noFill/>
                      <a:miter lim="800000"/>
                      <a:headEnd/>
                      <a:tailEnd/>
                    </a:ln>
                  </pic:spPr>
                </pic:pic>
              </a:graphicData>
            </a:graphic>
          </wp:inline>
        </w:drawing>
      </w:r>
    </w:p>
    <w:p w:rsidR="00643266" w:rsidRDefault="00643266" w:rsidP="00643266">
      <w:pPr>
        <w:spacing w:after="200" w:line="276" w:lineRule="auto"/>
        <w:jc w:val="center"/>
        <w:rPr>
          <w:b/>
          <w:i/>
        </w:rPr>
      </w:pPr>
    </w:p>
    <w:p w:rsidR="00643266" w:rsidRDefault="00643266" w:rsidP="00643266">
      <w:pPr>
        <w:spacing w:after="200" w:line="276" w:lineRule="auto"/>
        <w:jc w:val="center"/>
        <w:rPr>
          <w:b/>
          <w:i/>
        </w:rPr>
      </w:pPr>
      <w:r w:rsidRPr="0027324E">
        <w:rPr>
          <w:b/>
          <w:i/>
        </w:rPr>
        <w:t>Merrill Lynch Net Income/(Loss) (in billions)</w:t>
      </w:r>
    </w:p>
    <w:p w:rsidR="00643266" w:rsidRDefault="00643266" w:rsidP="00643266">
      <w:pPr>
        <w:spacing w:after="200" w:line="276" w:lineRule="auto"/>
        <w:jc w:val="center"/>
      </w:pPr>
      <w:r w:rsidRPr="0027324E">
        <w:rPr>
          <w:noProof/>
        </w:rPr>
        <w:lastRenderedPageBreak/>
        <w:drawing>
          <wp:inline distT="0" distB="0" distL="0" distR="0">
            <wp:extent cx="4274820" cy="39179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274820" cy="391795"/>
                    </a:xfrm>
                    <a:prstGeom prst="rect">
                      <a:avLst/>
                    </a:prstGeom>
                    <a:noFill/>
                    <a:ln w="9525">
                      <a:noFill/>
                      <a:miter lim="800000"/>
                      <a:headEnd/>
                      <a:tailEnd/>
                    </a:ln>
                  </pic:spPr>
                </pic:pic>
              </a:graphicData>
            </a:graphic>
          </wp:inline>
        </w:drawing>
      </w:r>
    </w:p>
    <w:p w:rsidR="00643266" w:rsidRDefault="00643266" w:rsidP="00643266">
      <w:pPr>
        <w:spacing w:after="200" w:line="276" w:lineRule="auto"/>
        <w:jc w:val="both"/>
      </w:pPr>
      <w:r w:rsidRPr="0027324E">
        <w:t>Further, O’Neal and Edwards may have made misleading statements about Merrill’s exposures to CDOs. During the 10/24/07 conference call, CEO O’Neal and CFO Edwards refused to disclose Merrill’s gross exposures despite repeated requests from analysts.  In response to a request to breakdown what was sold and what was hedged, CFO Edwards stated “I just don’t want to get into the details behind that.” When pressed for more information on the exposures, CFO Edwards stated “let me just say that what we have provided again we think is extraordinarily high level of disclosure and it should be sufficient.”  Deutsche Bank analyst Mike Mayo disagreed and asked management to provide additional information but his request was rejected.</w:t>
      </w:r>
    </w:p>
    <w:p w:rsidR="00643266" w:rsidRDefault="00643266" w:rsidP="00643266">
      <w:pPr>
        <w:spacing w:after="200" w:line="276" w:lineRule="auto"/>
        <w:jc w:val="both"/>
      </w:pPr>
      <w:r w:rsidRPr="0027324E">
        <w:t xml:space="preserve">Documents obtained from Merrill and the SEC, and subsequent disclosures by Merrill after O’Neal and Edwards left the firm indicate that O’Neal and Edwards representations about Merrill’s CDO </w:t>
      </w:r>
      <w:r>
        <w:t xml:space="preserve">net </w:t>
      </w:r>
      <w:r w:rsidRPr="0027324E">
        <w:t xml:space="preserve">exposures may have been materially false and misleading because they failed to disclose that there were billions of dollars of hedges that they knew might not be effective.  </w:t>
      </w:r>
    </w:p>
    <w:p w:rsidR="00643266" w:rsidRDefault="00643266" w:rsidP="00643266">
      <w:pPr>
        <w:spacing w:after="200" w:line="276" w:lineRule="auto"/>
        <w:jc w:val="both"/>
      </w:pPr>
      <w:r w:rsidRPr="0027324E">
        <w:t>Merrill hedged its long exposures of U.S. super senior ABS CDOs with the monolines, either through a guarantee or through a credit default swap.  Documents produced by the SEC to the FCIC reveal that Merrill began to increase the amount of credit default protection purchased from financial guarantors in July 2007 to offset its long exposure to the super senior ABS CDO positions.  The SEC became concerned with the viability of the financial guarantors in early Fall 2007 as rating agencies began to downgrade them and the SEC raised those concerns with Merrill because it had purchased $95.9 billion of notional credit default protection from the financial guarantors.  Indeed, the SEC told Merrill that it would impose a punitive capital charge on the firm if it purchased additional credit default protection from the financial guarantors.  The SEC’s threat of a capital charge resulted in Merrill ceasing any further purchases.</w:t>
      </w:r>
    </w:p>
    <w:p w:rsidR="00643266" w:rsidRDefault="00643266" w:rsidP="00643266">
      <w:pPr>
        <w:spacing w:after="200" w:line="276" w:lineRule="auto"/>
        <w:jc w:val="both"/>
      </w:pPr>
      <w:r w:rsidRPr="0027324E">
        <w:t>The SEC also reported that Merrill recognized there was uncertainty about the value of the credit default protection purchased from the financial guarantors.  The 11/6/07 SEC Office of Prudential Supervision and Risk Analysis memo reported that Merrill had purchased CDS protection from several financial guarantors but that Merrill was beginning to question their ability to perform under all scenarios since the financial guarantors had recently reported GAAP-based losses.  As shown in the chart above, beginning in 4Q07, Merrill recorded $13.0 billion of credit valuation allowances (“CVAs”) because of the deteriorating financial condition of the monolines and their inability to comply with the terms of the guarantees.</w:t>
      </w:r>
    </w:p>
    <w:p w:rsidR="00643266" w:rsidRDefault="00643266" w:rsidP="00643266">
      <w:pPr>
        <w:spacing w:after="200" w:line="276" w:lineRule="auto"/>
        <w:jc w:val="both"/>
      </w:pPr>
      <w:r w:rsidRPr="0027324E">
        <w:t xml:space="preserve">During Merrill’s January 17, 2008 conference call, newly hired CFO Nelson Chai reported that Merrill’s net exposure to </w:t>
      </w:r>
      <w:r w:rsidRPr="0027324E">
        <w:rPr>
          <w:color w:val="000000"/>
        </w:rPr>
        <w:t xml:space="preserve">super-senior ABS CDOs was $4.8 billion as of December 31, 2007, but was $30 billion when excluding the impact of hedges and short positions.  On April 17, 2008, Merrill reported that its super senior ABS CDO exposure was $26 billion as of March 31, 2008.  On July 17, 2008, Merrill reported that at the end of 2Q08 it had $20 billion of long ABS CDO positions and $16 billion of short positions, but </w:t>
      </w:r>
      <w:r w:rsidRPr="0027324E">
        <w:t xml:space="preserve">$9.6 billion of the short positions were hedges </w:t>
      </w:r>
      <w:r w:rsidRPr="0027324E">
        <w:lastRenderedPageBreak/>
        <w:t xml:space="preserve">with the monolines which were valued at just $2.9 billion.  Eleven days later, Merrill reported that it had sold $30.6 billion of ABS CDOs (with a carrying value of $11.6 billion) to Lone Star Funds for $6.7 billion.  Merrill’s ABS CDO exposures caused Merrill to record tens of billions of dollars in write-downs and related charges (e.g., CVAs on monoline hedges) in 2007 and 2008.  These facts indicate that the gross CDO exposures, particularly given the questionable value of the monoline hedges, was material information that should have been disclosed given the representations that were made by O’Neal and Edwards during the 1Q07, 2Q07 and 3Q07 earnings calls. </w:t>
      </w:r>
    </w:p>
    <w:p w:rsidR="00643266" w:rsidRDefault="00643266" w:rsidP="00643266">
      <w:pPr>
        <w:pStyle w:val="ListParagraph"/>
        <w:numPr>
          <w:ilvl w:val="0"/>
          <w:numId w:val="47"/>
        </w:numPr>
        <w:spacing w:after="200" w:line="276" w:lineRule="auto"/>
        <w:jc w:val="both"/>
        <w:rPr>
          <w:b/>
        </w:rPr>
      </w:pPr>
      <w:r w:rsidRPr="0027324E">
        <w:rPr>
          <w:b/>
        </w:rPr>
        <w:t>Possible False and Misleading Representations in the Norma CDO Offering Documents</w:t>
      </w:r>
    </w:p>
    <w:p w:rsidR="00643266" w:rsidRDefault="00643266" w:rsidP="00643266">
      <w:pPr>
        <w:spacing w:after="200" w:line="276" w:lineRule="auto"/>
        <w:jc w:val="both"/>
      </w:pPr>
      <w:r w:rsidRPr="0027324E">
        <w:t>The FCIC discovered evidence indicating that Merrill Lynch may have violated the federal securities laws by misstating and omitting key facts regarding its issuance of a $1.5 billion “hybrid” CDO called “Norma,” which was created and marketed in March 2007.  NIR Capital Management, LLC (“NIR”) was the collateral manager for Norma.  The Norma Preliminary Offering Circular, marketing materials and NIR engagement letter all represented that NIR, as the collateral manager, bore sole responsibility for the selection of the Norma collateral.</w:t>
      </w:r>
      <w:r w:rsidRPr="0027324E">
        <w:rPr>
          <w:vertAlign w:val="superscript"/>
        </w:rPr>
        <w:footnoteReference w:id="28"/>
      </w:r>
      <w:r w:rsidRPr="0027324E">
        <w:t xml:space="preserve">  As a collateral manager, NIR was responsible for purchasing CDO assets and managing them according to specified guidelines.</w:t>
      </w:r>
      <w:r w:rsidRPr="0027324E">
        <w:rPr>
          <w:vertAlign w:val="superscript"/>
        </w:rPr>
        <w:footnoteReference w:id="29"/>
      </w:r>
      <w:r w:rsidRPr="0027324E">
        <w:t xml:space="preserve">  The Norma Preliminary Offering Circular provided a specific description of NIR’s role as the collateral manager, stating that the collateral manager will perform:</w:t>
      </w:r>
    </w:p>
    <w:p w:rsidR="00643266" w:rsidRDefault="00643266" w:rsidP="00643266">
      <w:pPr>
        <w:spacing w:after="200" w:line="276" w:lineRule="auto"/>
        <w:ind w:left="720" w:right="720"/>
        <w:jc w:val="both"/>
      </w:pPr>
      <w:r w:rsidRPr="0027324E">
        <w:t>certain advisory functions and certain administrative functions with respect to the Collateral pursuant to a collateral management agreement . . . the Collateral Manager will manage the Acquisition and Disposition of the Collateral Debt Securities, including exercising rights and remedies associated with the Collateral Debt Securities, Disposing of the Collateral Debt Securities and certain related functions.</w:t>
      </w:r>
      <w:r w:rsidRPr="0027324E">
        <w:rPr>
          <w:vertAlign w:val="superscript"/>
        </w:rPr>
        <w:footnoteReference w:id="30"/>
      </w:r>
    </w:p>
    <w:p w:rsidR="00643266" w:rsidRDefault="00643266" w:rsidP="00643266">
      <w:pPr>
        <w:spacing w:after="200" w:line="276" w:lineRule="auto"/>
        <w:jc w:val="both"/>
      </w:pPr>
      <w:r w:rsidRPr="0027324E">
        <w:t>The Preliminary Offering Circular described the collateral management agreement with NIR, which stated that NIR “will be authorized to supervise and direct the investment, reinvestment and Disposition of Collateral Debt Securities, Equity Securities and Eligible Investments, with full authority and at its discretion (without specific authorization from the Issuer), on the Issuer’s behalf and at the Issuer’s risk,”</w:t>
      </w:r>
      <w:r w:rsidRPr="0027324E">
        <w:rPr>
          <w:rStyle w:val="FootnoteReference"/>
        </w:rPr>
        <w:footnoteReference w:id="31"/>
      </w:r>
    </w:p>
    <w:p w:rsidR="00643266" w:rsidRDefault="00643266" w:rsidP="00643266">
      <w:pPr>
        <w:spacing w:after="200" w:line="276" w:lineRule="auto"/>
        <w:jc w:val="both"/>
      </w:pPr>
      <w:r w:rsidRPr="0027324E">
        <w:t>While NIR was the collateral manager, Magnetar Capital LLC (“Magnetar”), a hedge fund, was an equity investor in Norma, purchasing the $50 million equity tranche in Norma for $15.5 million, the G and H tranches at par ($38 million), $9.25 million of CDS against the B tranche and receiving $4.5 million in fees.</w:t>
      </w:r>
      <w:r w:rsidRPr="0027324E">
        <w:rPr>
          <w:vertAlign w:val="superscript"/>
        </w:rPr>
        <w:footnoteReference w:id="32"/>
      </w:r>
      <w:r w:rsidRPr="0027324E">
        <w:t xml:space="preserve"> During a discussion on October 4, 2010, SEC staff told </w:t>
      </w:r>
      <w:r w:rsidRPr="0027324E">
        <w:lastRenderedPageBreak/>
        <w:t xml:space="preserve">FCIC staff that Magnetar was short about $94 million into the deal.  Evidence obtained by the FCIC indicates that Merrill failed to disclose two important facts.  First, Merrill did not disclose the fact that Magnetar was involved in the collateral selection process of the CDO.  Second, Merrill failed to disclose that Magnetar had taken a short position in the assets it was selecting for Norma’s portfolio.  By concealing Magentar’s role in selecting the assets and its short interest, the Preliminary Offering Circular failed to disclose to Norma’s investors that assets were being selected by an investor that would profit if the value of the collateral declined.  </w:t>
      </w:r>
    </w:p>
    <w:p w:rsidR="00643266" w:rsidRDefault="00643266" w:rsidP="00643266">
      <w:pPr>
        <w:spacing w:after="200" w:line="276" w:lineRule="auto"/>
        <w:jc w:val="both"/>
      </w:pPr>
      <w:r w:rsidRPr="0027324E">
        <w:t>Information obtained from counsel for Rabobank (a bank that sued Merrill</w:t>
      </w:r>
      <w:r>
        <w:t xml:space="preserve"> </w:t>
      </w:r>
      <w:r w:rsidRPr="0027324E">
        <w:t>to recover the balance of a $58 million loan to Norma</w:t>
      </w:r>
      <w:r>
        <w:t>,</w:t>
      </w:r>
      <w:r w:rsidRPr="00711245">
        <w:t xml:space="preserve"> </w:t>
      </w:r>
      <w:r>
        <w:t>and settled</w:t>
      </w:r>
      <w:r w:rsidRPr="0027324E">
        <w:t xml:space="preserve">) indicates that Merrill knew that (i) Magnetar selected collateral for the Norma CDO, (ii) Magnetar had the right to veto collateral decisions made by NIR and (iii) Magnetar would take short positions in the assets it selected for the Norma CDO.  The FCIC is in the process of obtaining documents </w:t>
      </w:r>
      <w:r>
        <w:t xml:space="preserve">directly </w:t>
      </w:r>
      <w:r w:rsidRPr="0027324E">
        <w:t xml:space="preserve">from Merrill that were identified by Rabobank’s counsel </w:t>
      </w:r>
      <w:r>
        <w:t xml:space="preserve">and referenced in a letter to the court </w:t>
      </w:r>
      <w:r w:rsidRPr="0027324E">
        <w:t>that will reportedly show the following:</w:t>
      </w:r>
      <w:r>
        <w:t xml:space="preserve">  </w:t>
      </w:r>
    </w:p>
    <w:p w:rsidR="00643266" w:rsidRDefault="00643266" w:rsidP="00643266">
      <w:pPr>
        <w:spacing w:after="200" w:line="276" w:lineRule="auto"/>
        <w:ind w:left="720"/>
        <w:jc w:val="both"/>
      </w:pPr>
      <w:r w:rsidRPr="0027324E">
        <w:t>In August 2006, Magnetar assumed NIR’s role in directing the collateral purchases, as evidenced by the quote of Magnetar’s James Prusko (“Prusko”), Head of Structured Products, stating, “Here is the first batch of protection purchases I’m planning for NIR.”</w:t>
      </w:r>
      <w:r w:rsidRPr="0027324E">
        <w:rPr>
          <w:rStyle w:val="FootnoteReference"/>
        </w:rPr>
        <w:footnoteReference w:id="33"/>
      </w:r>
    </w:p>
    <w:p w:rsidR="00643266" w:rsidRDefault="00643266" w:rsidP="00643266">
      <w:pPr>
        <w:spacing w:after="200" w:line="276" w:lineRule="auto"/>
        <w:ind w:left="720"/>
        <w:jc w:val="both"/>
      </w:pPr>
      <w:r w:rsidRPr="0027324E">
        <w:t>By November 2006, Magnetar had executed about $600 million in trades for Norma without involving NIR, as evidenced by an unattributed quote, “Apparently NIR allowed Magnetar to do some trading for their portfolio (in the area of 600MM).  This accounted for a large chunk of trading that NIR originally didn’t recognize.”</w:t>
      </w:r>
      <w:r w:rsidRPr="0027324E">
        <w:rPr>
          <w:rStyle w:val="FootnoteReference"/>
        </w:rPr>
        <w:footnoteReference w:id="34"/>
      </w:r>
      <w:r w:rsidRPr="0027324E">
        <w:t xml:space="preserve">  In response to this statement, a Merrill corporate risk manager asked, “Dumb question.  Is Magnetar allowed to trade for NIR?”</w:t>
      </w:r>
      <w:r w:rsidRPr="0027324E">
        <w:rPr>
          <w:rStyle w:val="FootnoteReference"/>
        </w:rPr>
        <w:footnoteReference w:id="35"/>
      </w:r>
    </w:p>
    <w:p w:rsidR="00643266" w:rsidRDefault="00643266" w:rsidP="00643266">
      <w:pPr>
        <w:spacing w:after="200" w:line="276" w:lineRule="auto"/>
        <w:ind w:left="720"/>
        <w:jc w:val="both"/>
      </w:pPr>
      <w:r w:rsidRPr="0027324E">
        <w:t>Magnetar exercised veto rights on the trades that NIR actually executed, as Prusko told NIR that “I definitely want to approve any CDO’s that go in the deal. . . .”</w:t>
      </w:r>
      <w:r w:rsidRPr="0027324E">
        <w:rPr>
          <w:rStyle w:val="FootnoteReference"/>
        </w:rPr>
        <w:footnoteReference w:id="36"/>
      </w:r>
      <w:r w:rsidRPr="0027324E">
        <w:t xml:space="preserve">  </w:t>
      </w:r>
    </w:p>
    <w:p w:rsidR="00643266" w:rsidRDefault="00643266" w:rsidP="00643266">
      <w:pPr>
        <w:spacing w:after="200" w:line="276" w:lineRule="auto"/>
        <w:ind w:left="720"/>
        <w:jc w:val="both"/>
      </w:pPr>
      <w:r w:rsidRPr="0027324E">
        <w:t>Merrill recognized that Magnetar’s short positions in Norma were more important to it than its long positions, as evidenced by an unattributed quote most likely made by a Merrill employee, stating “I think Jim [Prusko] is less worried about his deal pricings and more worried about where he can short paper in the aftermarket.”</w:t>
      </w:r>
      <w:r w:rsidRPr="0027324E">
        <w:rPr>
          <w:rStyle w:val="FootnoteReference"/>
        </w:rPr>
        <w:footnoteReference w:id="37"/>
      </w:r>
      <w:r w:rsidRPr="0027324E">
        <w:t xml:space="preserve">  </w:t>
      </w:r>
    </w:p>
    <w:p w:rsidR="00643266" w:rsidRDefault="00643266" w:rsidP="00643266">
      <w:pPr>
        <w:spacing w:after="200" w:line="276" w:lineRule="auto"/>
        <w:jc w:val="both"/>
      </w:pPr>
      <w:r w:rsidRPr="0027324E">
        <w:t xml:space="preserve">The circumstances surrounding Merrill’s conduct in the Norma CDO are similar to Goldman’s alleged conduct in the Abacus 2007-AC1 CDO that resulted in the SEC lawsuit and subsequent $550 million settlement.  In that case, Goldman represented in the ABACUS marketing materials and offering circular that ACA Management LLC acted as collateral manager for the CDO when </w:t>
      </w:r>
      <w:r w:rsidRPr="0027324E">
        <w:lastRenderedPageBreak/>
        <w:t>in fact Paulson &amp; Co. Inc. (“Paulson”) participated in the collateral selection process and took a short position against the CDO.</w:t>
      </w:r>
      <w:r w:rsidRPr="0027324E">
        <w:rPr>
          <w:rStyle w:val="FootnoteReference"/>
        </w:rPr>
        <w:footnoteReference w:id="38"/>
      </w:r>
      <w:r w:rsidRPr="0027324E">
        <w:t xml:space="preserve">  </w:t>
      </w:r>
    </w:p>
    <w:p w:rsidR="00643266" w:rsidRDefault="00643266" w:rsidP="00643266">
      <w:pPr>
        <w:spacing w:after="200" w:line="276" w:lineRule="auto"/>
        <w:jc w:val="both"/>
      </w:pPr>
    </w:p>
    <w:p w:rsidR="00643266" w:rsidRDefault="00643266" w:rsidP="00643266">
      <w:pPr>
        <w:spacing w:after="200" w:line="276" w:lineRule="auto"/>
        <w:jc w:val="both"/>
      </w:pPr>
      <w:r w:rsidRPr="0027324E">
        <w:t>FCIC staff has spoken with SEC officials who have confirmed the SEC is investigating the Norma CDO.   In addition, Rabobank sued Merrill on June 12, 2009, to recover the balance of a $58 million loan to Norma.  The Rabobank complaint alleged that Merrill fraudulently induced Rabobank to provide a $57.7 million senior secured loan to Norma.</w:t>
      </w:r>
      <w:r w:rsidRPr="0027324E">
        <w:rPr>
          <w:vertAlign w:val="superscript"/>
        </w:rPr>
        <w:footnoteReference w:id="39"/>
      </w:r>
      <w:r w:rsidRPr="0027324E">
        <w:t xml:space="preserve">  Rabobank settled its case with Merrill, and on August 6, 2010 the case was dismissed.</w:t>
      </w:r>
      <w:r w:rsidRPr="0027324E">
        <w:rPr>
          <w:rStyle w:val="FootnoteReference"/>
        </w:rPr>
        <w:footnoteReference w:id="40"/>
      </w:r>
      <w:r w:rsidRPr="0027324E">
        <w:t xml:space="preserve">  The terms of the settlement are confidential. </w:t>
      </w:r>
    </w:p>
    <w:p w:rsidR="00643266" w:rsidRDefault="00643266" w:rsidP="00643266">
      <w:pPr>
        <w:spacing w:after="200" w:line="276" w:lineRule="auto"/>
        <w:jc w:val="both"/>
      </w:pPr>
      <w:r w:rsidRPr="0027324E">
        <w:rPr>
          <w:b/>
        </w:rPr>
        <w:t>Possible Improprieties by Merrill and Collateral Managers to Help Merrill Sell CDOs</w:t>
      </w:r>
      <w:r w:rsidRPr="00FD0A8B">
        <w:t>As noted above, Merrill was retaining super senior tranches of CDO and selling the subordinate tranches in 2006 and 2007 in an effort to reduce warehouse risk.  Many of the subordinate tranches were sold to collateral managers that put them in other CDOs they managed. For example, at least 10 of the 12 purchasers of the Norma tranches were collateral managers in CDOs underwritten by Merrill.</w:t>
      </w:r>
      <w:r w:rsidRPr="0027324E">
        <w:rPr>
          <w:vertAlign w:val="superscript"/>
        </w:rPr>
        <w:footnoteReference w:id="41"/>
      </w:r>
      <w:r w:rsidRPr="00FD0A8B">
        <w:t xml:space="preserve">  FCIC has obtained from Merrill a listing of 44 CDOs underwritten by Merrill from 4Q06 through 8/07 that includes (1) the purchasers of each tranche, (2) the collateral manager for each CDO, (3) the performance of the CDO and (4) a listing of Merrill’s collateral managers.  Many of the purchasers in these CDOs were collateral managers in CDOs underwritten by Merrill.  </w:t>
      </w:r>
      <w:r>
        <w:t>During the July 22, 2007 presentation to the Merrill Finance Committee, it was reported that n</w:t>
      </w:r>
      <w:r w:rsidRPr="00FD0A8B">
        <w:t>ew CDO deals were contingent on managers committing to or placing equity tranches.</w:t>
      </w:r>
      <w:r w:rsidRPr="00773365">
        <w:rPr>
          <w:vertAlign w:val="superscript"/>
        </w:rPr>
        <w:footnoteReference w:id="42"/>
      </w:r>
      <w:r>
        <w:t xml:space="preserve">  </w:t>
      </w:r>
      <w:r w:rsidRPr="0027324E">
        <w:t xml:space="preserve">The purchase of the CDO tranches by Merrill’s collateral managers may have been improper if they purchased the tranches without proper due diligence and at the request – or demand – by Merrill.  It is possible that there was a quid pro quo that the collateral managers had to buy Merrill’s CDOs to continue to receive collateral manager business from Merrill. </w:t>
      </w:r>
    </w:p>
    <w:p w:rsidR="00643266" w:rsidRDefault="00643266" w:rsidP="00643266">
      <w:pPr>
        <w:spacing w:after="200" w:line="276" w:lineRule="auto"/>
        <w:jc w:val="both"/>
      </w:pPr>
      <w:r w:rsidRPr="0027324E">
        <w:t xml:space="preserve">FCIC staff spoke to SEC officials who said that the SEC is investigating CDOs and specifically the role of </w:t>
      </w:r>
      <w:r>
        <w:t xml:space="preserve">these </w:t>
      </w:r>
      <w:r w:rsidRPr="0027324E">
        <w:t>collateral managers and their purchase of CDOs for other CDOs they managed. In fact, the SEC filed charges against ICP Asset Management on 6/22/10 alleging ICP fraudulently managed multi-billion-dollar CDOs by repeatedly causing the CDOs to purchase securities at inflated prices to make money for ICP and to protect certain ICP clients from realizing losses.</w:t>
      </w:r>
      <w:r w:rsidRPr="0027324E">
        <w:rPr>
          <w:rStyle w:val="FootnoteReference"/>
        </w:rPr>
        <w:footnoteReference w:id="43"/>
      </w:r>
      <w:r w:rsidRPr="0027324E">
        <w:t xml:space="preserve">  More specifically, the SEC alleged in the complaint filed on 6/21/10 that “ICP and the other Defendants put their interests ahead of their advisory clients and improperly obtained tens of millions of dollars in fees and undisclosed profits at the expense of clients and </w:t>
      </w:r>
      <w:r w:rsidRPr="0027324E">
        <w:lastRenderedPageBreak/>
        <w:t>investors.”</w:t>
      </w:r>
      <w:r w:rsidRPr="0027324E">
        <w:rPr>
          <w:vertAlign w:val="superscript"/>
        </w:rPr>
        <w:footnoteReference w:id="44"/>
      </w:r>
      <w:r w:rsidRPr="0027324E">
        <w:t xml:space="preserve">  George S. Canellos, Director of the SEC’s New York Regional Office, further discussed the complaint, stating that “[t]he CDOs were complex but the lesson is simple: collateral managers bear the same responsibilities to their clients as every other investment adviser.  When they violate their clients’ trust, we will hold them accountable.”</w:t>
      </w:r>
      <w:r w:rsidRPr="0027324E">
        <w:rPr>
          <w:vertAlign w:val="superscript"/>
        </w:rPr>
        <w:footnoteReference w:id="45"/>
      </w:r>
    </w:p>
    <w:p w:rsidR="00643266" w:rsidRDefault="00643266" w:rsidP="00643266">
      <w:pPr>
        <w:spacing w:after="200" w:line="276" w:lineRule="auto"/>
        <w:jc w:val="both"/>
      </w:pPr>
      <w:r>
        <w:t xml:space="preserve">The FCIC has information produced by Merrill related to the purchasers of 44 CDO Merrill underwrote and issued from 4Q06 through 8/07 and databases of information on CDOs obtained from Moody’s and S&amp;P.  We do not know if the SEC has this information and believe we should  make it available given the fact the SEC is investigating collateral manager dealings with Merrill and other CDO underwriters. </w:t>
      </w:r>
    </w:p>
    <w:p w:rsidR="00643266" w:rsidRDefault="00643266" w:rsidP="00643266">
      <w:pPr>
        <w:spacing w:after="200" w:line="276" w:lineRule="auto"/>
        <w:jc w:val="both"/>
      </w:pPr>
    </w:p>
    <w:p w:rsidR="00736BC1" w:rsidRDefault="00643266" w:rsidP="00643266">
      <w:pPr>
        <w:spacing w:before="100" w:beforeAutospacing="1" w:after="100" w:afterAutospacing="1"/>
        <w:jc w:val="both"/>
      </w:pPr>
      <w:r w:rsidRPr="0027324E">
        <w:t xml:space="preserve">  </w:t>
      </w:r>
    </w:p>
    <w:p w:rsidR="00736BC1" w:rsidRDefault="00736BC1">
      <w:r>
        <w:br w:type="page"/>
      </w:r>
    </w:p>
    <w:p w:rsidR="00736BC1" w:rsidRDefault="00736BC1" w:rsidP="00736BC1">
      <w:pPr>
        <w:widowControl w:val="0"/>
        <w:autoSpaceDE w:val="0"/>
        <w:autoSpaceDN w:val="0"/>
        <w:adjustRightInd w:val="0"/>
        <w:jc w:val="center"/>
        <w:rPr>
          <w:b/>
        </w:rPr>
      </w:pPr>
    </w:p>
    <w:p w:rsidR="00736BC1" w:rsidRPr="0027324E" w:rsidRDefault="00736BC1" w:rsidP="00736BC1">
      <w:pPr>
        <w:jc w:val="center"/>
        <w:rPr>
          <w:b/>
          <w:bCs/>
        </w:rPr>
      </w:pPr>
      <w:r w:rsidRPr="0027324E">
        <w:rPr>
          <w:b/>
          <w:noProof/>
        </w:rPr>
        <w:drawing>
          <wp:inline distT="0" distB="0" distL="0" distR="0">
            <wp:extent cx="1238250" cy="130492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736BC1" w:rsidRPr="0027324E" w:rsidRDefault="00736BC1" w:rsidP="00736BC1">
      <w:pPr>
        <w:jc w:val="center"/>
        <w:outlineLvl w:val="0"/>
        <w:rPr>
          <w:b/>
        </w:rPr>
      </w:pPr>
      <w:r w:rsidRPr="0027324E">
        <w:rPr>
          <w:b/>
        </w:rPr>
        <w:t>Financial Crisis Inquiry Commission</w:t>
      </w:r>
    </w:p>
    <w:p w:rsidR="00736BC1" w:rsidRPr="0027324E" w:rsidRDefault="00736BC1" w:rsidP="00736BC1">
      <w:pPr>
        <w:jc w:val="center"/>
        <w:rPr>
          <w:b/>
        </w:rPr>
      </w:pPr>
      <w:r>
        <w:rPr>
          <w:b/>
        </w:rPr>
        <w:t>F</w:t>
      </w:r>
      <w:r w:rsidRPr="0027324E">
        <w:rPr>
          <w:b/>
        </w:rPr>
        <w:t xml:space="preserve">or Telephonic Business Meeting of </w:t>
      </w:r>
      <w:r>
        <w:rPr>
          <w:b/>
        </w:rPr>
        <w:t>October 12</w:t>
      </w:r>
      <w:r w:rsidRPr="0027324E">
        <w:rPr>
          <w:b/>
        </w:rPr>
        <w:t>, 2010</w:t>
      </w:r>
    </w:p>
    <w:p w:rsidR="00736BC1" w:rsidRDefault="00736BC1" w:rsidP="00736BC1">
      <w:pPr>
        <w:jc w:val="center"/>
        <w:rPr>
          <w:b/>
        </w:rPr>
      </w:pPr>
      <w:r w:rsidRPr="0027324E">
        <w:rPr>
          <w:b/>
        </w:rPr>
        <w:t>Confidential Memorandum</w:t>
      </w:r>
      <w:r>
        <w:rPr>
          <w:b/>
        </w:rPr>
        <w:t xml:space="preserve"> </w:t>
      </w:r>
    </w:p>
    <w:p w:rsidR="00736BC1" w:rsidRDefault="00736BC1" w:rsidP="00736BC1">
      <w:pPr>
        <w:jc w:val="center"/>
        <w:rPr>
          <w:b/>
        </w:rPr>
      </w:pPr>
    </w:p>
    <w:p w:rsidR="00736BC1" w:rsidRDefault="00736BC1" w:rsidP="00736BC1">
      <w:pPr>
        <w:outlineLvl w:val="0"/>
      </w:pPr>
      <w:r w:rsidRPr="00E2660C">
        <w:rPr>
          <w:b/>
        </w:rPr>
        <w:t>TO:</w:t>
      </w:r>
      <w:r w:rsidRPr="00E2660C">
        <w:t xml:space="preserve"> </w:t>
      </w:r>
      <w:r w:rsidRPr="00E2660C">
        <w:tab/>
      </w:r>
      <w:r w:rsidRPr="00E2660C">
        <w:tab/>
        <w:t xml:space="preserve">Commissioners of the Financial Crisis Inquiry Commission </w:t>
      </w:r>
    </w:p>
    <w:p w:rsidR="00736BC1" w:rsidRPr="00E2660C" w:rsidRDefault="00736BC1" w:rsidP="00736BC1">
      <w:pPr>
        <w:outlineLvl w:val="0"/>
      </w:pPr>
    </w:p>
    <w:p w:rsidR="00736BC1" w:rsidRDefault="00736BC1" w:rsidP="00736BC1">
      <w:pPr>
        <w:outlineLvl w:val="0"/>
      </w:pPr>
      <w:r w:rsidRPr="00E2660C">
        <w:rPr>
          <w:b/>
        </w:rPr>
        <w:t>FROM:</w:t>
      </w:r>
      <w:r w:rsidRPr="00E2660C">
        <w:t xml:space="preserve">  </w:t>
      </w:r>
      <w:r w:rsidRPr="00E2660C">
        <w:tab/>
        <w:t>Financial Crisis Inquiry Commission Legal Staff</w:t>
      </w:r>
    </w:p>
    <w:p w:rsidR="00736BC1" w:rsidRPr="00E2660C" w:rsidRDefault="00736BC1" w:rsidP="00736BC1">
      <w:pPr>
        <w:outlineLvl w:val="0"/>
      </w:pPr>
    </w:p>
    <w:p w:rsidR="00736BC1" w:rsidRDefault="00736BC1" w:rsidP="00736BC1">
      <w:r w:rsidRPr="00E2660C">
        <w:rPr>
          <w:b/>
        </w:rPr>
        <w:t>Cc:</w:t>
      </w:r>
      <w:r w:rsidRPr="00E2660C">
        <w:tab/>
      </w:r>
      <w:r w:rsidRPr="00E2660C">
        <w:tab/>
        <w:t>Wendy Edelberg, Greg Feldberg</w:t>
      </w:r>
    </w:p>
    <w:p w:rsidR="00736BC1" w:rsidRPr="00E2660C" w:rsidRDefault="00736BC1" w:rsidP="00736BC1"/>
    <w:p w:rsidR="00736BC1" w:rsidRDefault="00736BC1" w:rsidP="00736BC1">
      <w:r w:rsidRPr="00E2660C">
        <w:rPr>
          <w:b/>
        </w:rPr>
        <w:t>DATE:</w:t>
      </w:r>
      <w:r w:rsidRPr="00E2660C">
        <w:t xml:space="preserve"> </w:t>
      </w:r>
      <w:r w:rsidRPr="00E2660C">
        <w:tab/>
        <w:t>October 11, 2010</w:t>
      </w:r>
    </w:p>
    <w:p w:rsidR="00736BC1" w:rsidRPr="00E2660C" w:rsidRDefault="00736BC1" w:rsidP="00736BC1"/>
    <w:p w:rsidR="00736BC1" w:rsidRPr="00E2660C" w:rsidRDefault="00736BC1" w:rsidP="00736BC1">
      <w:pPr>
        <w:tabs>
          <w:tab w:val="left" w:pos="1440"/>
          <w:tab w:val="left" w:pos="9360"/>
        </w:tabs>
        <w:autoSpaceDE w:val="0"/>
        <w:autoSpaceDN w:val="0"/>
        <w:adjustRightInd w:val="0"/>
        <w:ind w:left="1440" w:hanging="1440"/>
      </w:pPr>
      <w:r w:rsidRPr="00E2660C">
        <w:rPr>
          <w:b/>
          <w:bCs/>
        </w:rPr>
        <w:t>RE:</w:t>
      </w:r>
      <w:r w:rsidRPr="00E2660C">
        <w:tab/>
        <w:t xml:space="preserve">Fannie Mae’s Subprime Disclosures/Commissioner Wallison's </w:t>
      </w:r>
      <w:r>
        <w:t>R</w:t>
      </w:r>
      <w:r w:rsidRPr="00E2660C">
        <w:t>equest</w:t>
      </w:r>
    </w:p>
    <w:p w:rsidR="00736BC1" w:rsidRPr="00E2660C" w:rsidRDefault="00736BC1" w:rsidP="00736BC1">
      <w:pPr>
        <w:pBdr>
          <w:top w:val="single" w:sz="4" w:space="1" w:color="auto"/>
        </w:pBdr>
        <w:tabs>
          <w:tab w:val="left" w:pos="1440"/>
          <w:tab w:val="left" w:pos="9360"/>
        </w:tabs>
        <w:autoSpaceDE w:val="0"/>
        <w:autoSpaceDN w:val="0"/>
        <w:adjustRightInd w:val="0"/>
        <w:spacing w:after="58"/>
      </w:pPr>
    </w:p>
    <w:p w:rsidR="00736BC1" w:rsidRDefault="00736BC1" w:rsidP="00736BC1">
      <w:pPr>
        <w:jc w:val="both"/>
      </w:pPr>
      <w:r>
        <w:t>Commissioner Wallison has expressed in prior Commission meetings and to Commission staff that the disclosure of the amount of subprime and Alt-A loans held by Fannie Mae in the past raises certain concerns. We have examined the disclosure issue in certain of Fannie Mae public filings from 2004 to 2008 and agree that the issue is worthy of consideration, but conclude that we do not believe a referral is warranted in these circumstances.</w:t>
      </w:r>
    </w:p>
    <w:p w:rsidR="00736BC1" w:rsidRPr="00C86261" w:rsidRDefault="00736BC1" w:rsidP="00736BC1">
      <w:pPr>
        <w:jc w:val="both"/>
        <w:rPr>
          <w:b/>
        </w:rPr>
      </w:pPr>
      <w:r w:rsidRPr="00C86261">
        <w:rPr>
          <w:b/>
        </w:rPr>
        <w:t>Background</w:t>
      </w:r>
    </w:p>
    <w:p w:rsidR="00736BC1" w:rsidRPr="00E2660C" w:rsidRDefault="00736BC1" w:rsidP="00736BC1">
      <w:pPr>
        <w:jc w:val="both"/>
      </w:pPr>
      <w:r w:rsidRPr="00E2660C">
        <w:t xml:space="preserve">In its </w:t>
      </w:r>
      <w:r w:rsidRPr="00642704">
        <w:rPr>
          <w:b/>
        </w:rPr>
        <w:t>3Q08 Form 10-Q</w:t>
      </w:r>
      <w:r w:rsidRPr="00E2660C">
        <w:t xml:space="preserve">, Fannie Mae included the following disclosures related to its classification of subprime and Alt-A loans. </w:t>
      </w:r>
    </w:p>
    <w:p w:rsidR="00736BC1" w:rsidRPr="00E2660C" w:rsidRDefault="00736BC1" w:rsidP="00736BC1">
      <w:pPr>
        <w:ind w:left="720" w:right="720"/>
        <w:jc w:val="both"/>
      </w:pPr>
      <w:r w:rsidRPr="00E2660C">
        <w:rPr>
          <w:i/>
        </w:rPr>
        <w:t>Alt-A and Subprime loans</w:t>
      </w:r>
      <w:r w:rsidRPr="00E2660C">
        <w:t xml:space="preserve">.  We provide information below on our exposure to Alt-A and subprime mortgage loans.  We have classified mortgage loans as Alt-A if the lender that delivers the mortgage loan to us has classified the loan as Alt-A based on documentation or other features.  We have classified mortgage loans as subprime if the mortgage loan is originated by a lender specializing in subprime business or by subprime divisions of large lenders.  We apply these classification criteria in order to determine our Alt-A and subprime loan exposures; however, </w:t>
      </w:r>
      <w:r w:rsidRPr="00E2660C">
        <w:rPr>
          <w:b/>
          <w:i/>
        </w:rPr>
        <w:t>we have other loans with some features that are similar to Alt-A and subprime loans that we have not classified as Alt-A or subprime because they do not meet our classification criteri</w:t>
      </w:r>
      <w:r>
        <w:rPr>
          <w:b/>
          <w:i/>
        </w:rPr>
        <w:t>a. (emphasis added)</w:t>
      </w:r>
    </w:p>
    <w:p w:rsidR="00736BC1" w:rsidRDefault="00736BC1" w:rsidP="00736BC1">
      <w:pPr>
        <w:autoSpaceDE w:val="0"/>
        <w:autoSpaceDN w:val="0"/>
        <w:adjustRightInd w:val="0"/>
        <w:jc w:val="both"/>
      </w:pPr>
      <w:r>
        <w:t>Elsewhere in the 2008 filing, Fannie Mae did discuss with some specificity the levels of its holdings with characteristics "similar" to</w:t>
      </w:r>
      <w:r w:rsidRPr="00B422FB">
        <w:t xml:space="preserve"> </w:t>
      </w:r>
      <w:r>
        <w:t xml:space="preserve">what it was calling </w:t>
      </w:r>
      <w:r w:rsidRPr="00B422FB">
        <w:t>Alt-A and subprime</w:t>
      </w:r>
      <w:r>
        <w:t xml:space="preserve">, such as the amount of loans in certain FICO ranges and the percent of </w:t>
      </w:r>
      <w:r w:rsidRPr="00E2660C">
        <w:t xml:space="preserve">loans </w:t>
      </w:r>
      <w:r>
        <w:t xml:space="preserve">characterized </w:t>
      </w:r>
      <w:r w:rsidRPr="00E2660C">
        <w:t>by (1) the original LTV ratio, (2) the estimated mark-to-market LTV ratio, and (3) loan type including interest-only, adjustable rate or fixed, and nega</w:t>
      </w:r>
      <w:r>
        <w:t>tive amortization.</w:t>
      </w:r>
      <w:r w:rsidRPr="00E2660C">
        <w:t xml:space="preserve">  </w:t>
      </w:r>
    </w:p>
    <w:p w:rsidR="00736BC1" w:rsidRDefault="00736BC1" w:rsidP="00736BC1">
      <w:pPr>
        <w:autoSpaceDE w:val="0"/>
        <w:autoSpaceDN w:val="0"/>
        <w:adjustRightInd w:val="0"/>
        <w:jc w:val="both"/>
      </w:pPr>
    </w:p>
    <w:p w:rsidR="00736BC1" w:rsidRDefault="00736BC1" w:rsidP="00736BC1">
      <w:pPr>
        <w:autoSpaceDE w:val="0"/>
        <w:autoSpaceDN w:val="0"/>
        <w:adjustRightInd w:val="0"/>
        <w:jc w:val="both"/>
      </w:pPr>
      <w:r>
        <w:lastRenderedPageBreak/>
        <w:t xml:space="preserve">This highlighted disclosure appears to be the culmination of an evolving disclosure standard concerning Fannie Mae's subprime and Alt-A holdings from 2004 through 2008.  </w:t>
      </w:r>
    </w:p>
    <w:p w:rsidR="00736BC1" w:rsidRDefault="00736BC1" w:rsidP="00736BC1">
      <w:pPr>
        <w:autoSpaceDE w:val="0"/>
        <w:autoSpaceDN w:val="0"/>
        <w:adjustRightInd w:val="0"/>
        <w:jc w:val="both"/>
      </w:pPr>
    </w:p>
    <w:p w:rsidR="00736BC1" w:rsidRPr="00E2660C" w:rsidRDefault="00736BC1" w:rsidP="00736BC1">
      <w:pPr>
        <w:tabs>
          <w:tab w:val="left" w:pos="3348"/>
        </w:tabs>
        <w:autoSpaceDE w:val="0"/>
        <w:autoSpaceDN w:val="0"/>
        <w:adjustRightInd w:val="0"/>
        <w:jc w:val="both"/>
        <w:outlineLvl w:val="0"/>
      </w:pPr>
      <w:r>
        <w:t xml:space="preserve">To illustrate the evolving nature of the disclosure, Fannie Mae's </w:t>
      </w:r>
      <w:r w:rsidRPr="00642704">
        <w:rPr>
          <w:b/>
        </w:rPr>
        <w:t>2004 Form 10</w:t>
      </w:r>
      <w:r>
        <w:rPr>
          <w:b/>
        </w:rPr>
        <w:t>-</w:t>
      </w:r>
      <w:r w:rsidRPr="00642704">
        <w:rPr>
          <w:b/>
        </w:rPr>
        <w:t xml:space="preserve">K </w:t>
      </w:r>
      <w:r w:rsidRPr="00162563">
        <w:t>(filed 12-6-2006)</w:t>
      </w:r>
      <w:r>
        <w:t xml:space="preserve"> makes </w:t>
      </w:r>
      <w:r w:rsidRPr="00E2660C">
        <w:t>no references with respect to either FICO exposure segmentation or “subprime”, or alternative underwriting and documentation guidelines, except following.</w:t>
      </w:r>
    </w:p>
    <w:p w:rsidR="00736BC1" w:rsidRPr="00E2660C" w:rsidRDefault="00736BC1" w:rsidP="00736BC1">
      <w:pPr>
        <w:tabs>
          <w:tab w:val="left" w:pos="3348"/>
          <w:tab w:val="right" w:pos="9360"/>
        </w:tabs>
        <w:autoSpaceDE w:val="0"/>
        <w:autoSpaceDN w:val="0"/>
        <w:adjustRightInd w:val="0"/>
        <w:jc w:val="both"/>
        <w:outlineLvl w:val="0"/>
      </w:pPr>
    </w:p>
    <w:p w:rsidR="00736BC1" w:rsidRPr="00E2660C" w:rsidRDefault="00736BC1" w:rsidP="00736BC1">
      <w:pPr>
        <w:autoSpaceDE w:val="0"/>
        <w:autoSpaceDN w:val="0"/>
        <w:adjustRightInd w:val="0"/>
        <w:ind w:left="720" w:right="720"/>
        <w:jc w:val="both"/>
      </w:pPr>
      <w:r w:rsidRPr="00E2660C">
        <w:rPr>
          <w:i/>
          <w:iCs/>
        </w:rPr>
        <w:t xml:space="preserve">“Alt−A mortgage” </w:t>
      </w:r>
      <w:r w:rsidRPr="00E2660C">
        <w:t>refers to a mortgage loan underwritten using more liberal standards such as higher loan−to−value ratios and less documentation of borrower income or assets.</w:t>
      </w:r>
      <w:r w:rsidRPr="00E2660C">
        <w:rPr>
          <w:rStyle w:val="FootnoteReference"/>
        </w:rPr>
        <w:footnoteReference w:id="46"/>
      </w:r>
    </w:p>
    <w:p w:rsidR="00736BC1" w:rsidRPr="00E2660C" w:rsidRDefault="00736BC1" w:rsidP="00736BC1">
      <w:pPr>
        <w:tabs>
          <w:tab w:val="left" w:pos="3348"/>
          <w:tab w:val="right" w:pos="9360"/>
        </w:tabs>
        <w:autoSpaceDE w:val="0"/>
        <w:autoSpaceDN w:val="0"/>
        <w:adjustRightInd w:val="0"/>
        <w:jc w:val="both"/>
        <w:outlineLvl w:val="0"/>
      </w:pPr>
    </w:p>
    <w:p w:rsidR="00736BC1" w:rsidRPr="00E2660C" w:rsidRDefault="00736BC1" w:rsidP="00736BC1">
      <w:pPr>
        <w:autoSpaceDE w:val="0"/>
        <w:autoSpaceDN w:val="0"/>
        <w:adjustRightInd w:val="0"/>
        <w:ind w:left="720" w:right="720"/>
        <w:jc w:val="both"/>
      </w:pPr>
      <w:r w:rsidRPr="00E2660C">
        <w:t>“in recent years, an increasing proportion of single−family mortgage loan originations has consisted of non−traditional mortgages such as interest−only mortgages, negative−amortizing mortgages and sub−prime mortgages, and demand for traditional 30−year fixed−rate mortgages has decreased. We did not participate in large amounts of these non−traditional mortgages in 2004 and 2005 because we determined that the pricing offered for these mortgages often was insufficient compensation for the additional credit risk associated with these mortgages.”</w:t>
      </w:r>
      <w:r w:rsidRPr="00E2660C">
        <w:rPr>
          <w:rStyle w:val="FootnoteReference"/>
        </w:rPr>
        <w:footnoteReference w:id="47"/>
      </w:r>
    </w:p>
    <w:p w:rsidR="00736BC1" w:rsidRDefault="00736BC1" w:rsidP="00736BC1">
      <w:pPr>
        <w:autoSpaceDE w:val="0"/>
        <w:autoSpaceDN w:val="0"/>
        <w:adjustRightInd w:val="0"/>
        <w:jc w:val="both"/>
      </w:pPr>
    </w:p>
    <w:p w:rsidR="00736BC1" w:rsidRPr="00E2660C" w:rsidRDefault="00736BC1" w:rsidP="00736BC1">
      <w:pPr>
        <w:autoSpaceDE w:val="0"/>
        <w:autoSpaceDN w:val="0"/>
        <w:adjustRightInd w:val="0"/>
        <w:jc w:val="both"/>
      </w:pPr>
      <w:r w:rsidRPr="00E2660C">
        <w:rPr>
          <w:iCs/>
        </w:rPr>
        <w:t xml:space="preserve">In </w:t>
      </w:r>
      <w:r>
        <w:rPr>
          <w:iCs/>
        </w:rPr>
        <w:t>its</w:t>
      </w:r>
      <w:r w:rsidRPr="00E2660C">
        <w:rPr>
          <w:iCs/>
        </w:rPr>
        <w:t xml:space="preserve"> </w:t>
      </w:r>
      <w:r w:rsidRPr="00642704">
        <w:rPr>
          <w:b/>
          <w:iCs/>
        </w:rPr>
        <w:t>2005 Form 10-K</w:t>
      </w:r>
      <w:r w:rsidRPr="00E2660C">
        <w:rPr>
          <w:iCs/>
        </w:rPr>
        <w:t xml:space="preserve">, Fannie </w:t>
      </w:r>
      <w:r>
        <w:rPr>
          <w:iCs/>
        </w:rPr>
        <w:t xml:space="preserve">Mae </w:t>
      </w:r>
      <w:r w:rsidRPr="00E2660C">
        <w:rPr>
          <w:iCs/>
        </w:rPr>
        <w:t xml:space="preserve">disclosed </w:t>
      </w:r>
      <w:r>
        <w:rPr>
          <w:iCs/>
        </w:rPr>
        <w:t xml:space="preserve">how it defined subprime and </w:t>
      </w:r>
      <w:r w:rsidRPr="00E2660C">
        <w:rPr>
          <w:iCs/>
        </w:rPr>
        <w:t xml:space="preserve">represented that the percentage </w:t>
      </w:r>
      <w:r>
        <w:rPr>
          <w:iCs/>
        </w:rPr>
        <w:t>in</w:t>
      </w:r>
      <w:r w:rsidRPr="00E2660C">
        <w:rPr>
          <w:iCs/>
        </w:rPr>
        <w:t xml:space="preserve"> the single family credit book of business consisting of subprime loans or MBS backed by subprime mortgage loans was not material as of December 31, 2005.</w:t>
      </w:r>
      <w:r w:rsidRPr="00E2660C">
        <w:rPr>
          <w:rStyle w:val="FootnoteReference"/>
          <w:iCs/>
        </w:rPr>
        <w:footnoteReference w:id="48"/>
      </w:r>
    </w:p>
    <w:p w:rsidR="00736BC1" w:rsidRPr="00E2660C" w:rsidRDefault="00736BC1" w:rsidP="00736BC1">
      <w:pPr>
        <w:autoSpaceDE w:val="0"/>
        <w:autoSpaceDN w:val="0"/>
        <w:adjustRightInd w:val="0"/>
        <w:jc w:val="both"/>
      </w:pPr>
    </w:p>
    <w:p w:rsidR="00736BC1" w:rsidRPr="008A0990" w:rsidRDefault="00736BC1" w:rsidP="00736BC1">
      <w:pPr>
        <w:autoSpaceDE w:val="0"/>
        <w:autoSpaceDN w:val="0"/>
        <w:adjustRightInd w:val="0"/>
        <w:ind w:left="720" w:right="720"/>
        <w:jc w:val="both"/>
        <w:rPr>
          <w:u w:val="single"/>
        </w:rPr>
      </w:pPr>
      <w:r w:rsidRPr="00E2660C">
        <w:t>“</w:t>
      </w:r>
      <w:r w:rsidRPr="00E2660C">
        <w:rPr>
          <w:i/>
          <w:iCs/>
        </w:rPr>
        <w:t>Subprime mortgage</w:t>
      </w:r>
      <w:r w:rsidRPr="00E2660C">
        <w:t xml:space="preserve">” generally refers to a mortgage loan made to a borrower with a weaker credit profile than that of a prime borrower. As a result of the weaker credit profile, subprime borrowers have a higher likelihood of default than prime borrowers. Subprime mortgage loans are often originated by lenders specializing in this type of business, using processes unique to subprime </w:t>
      </w:r>
      <w:r w:rsidRPr="008A0990">
        <w:t>loans. In reporting our subprime exposure, we have classified mortgage loans as subprime if the mortgage loans are originated by one of these specialty lenders. (emphasis added)</w:t>
      </w:r>
    </w:p>
    <w:p w:rsidR="00736BC1" w:rsidRDefault="00736BC1" w:rsidP="00736BC1">
      <w:pPr>
        <w:autoSpaceDE w:val="0"/>
        <w:autoSpaceDN w:val="0"/>
        <w:adjustRightInd w:val="0"/>
        <w:jc w:val="both"/>
      </w:pPr>
    </w:p>
    <w:p w:rsidR="00736BC1" w:rsidRPr="00E2660C" w:rsidRDefault="00736BC1" w:rsidP="00736BC1">
      <w:pPr>
        <w:tabs>
          <w:tab w:val="left" w:pos="3348"/>
        </w:tabs>
        <w:autoSpaceDE w:val="0"/>
        <w:autoSpaceDN w:val="0"/>
        <w:adjustRightInd w:val="0"/>
        <w:jc w:val="both"/>
        <w:outlineLvl w:val="0"/>
      </w:pPr>
      <w:r w:rsidRPr="00E2660C">
        <w:t>While not providing granularity within the single family book of business by LTV and FICO band, as was the case in the</w:t>
      </w:r>
      <w:r>
        <w:t xml:space="preserve"> subsequent years</w:t>
      </w:r>
      <w:r w:rsidRPr="00E2660C">
        <w:t xml:space="preserve">, Fannie did disclose </w:t>
      </w:r>
      <w:r>
        <w:t xml:space="preserve">the </w:t>
      </w:r>
      <w:r w:rsidRPr="00E2660C">
        <w:t>volume of interest only and negative amortizing adjustable rate mortgages (ARM) for 2005 and 2004</w:t>
      </w:r>
      <w:r>
        <w:t>.  Finally, d</w:t>
      </w:r>
      <w:r w:rsidRPr="00E2660C">
        <w:t xml:space="preserve">isclosures regarding the extent of Fannie concentrations in loans with alternative or non-traditional underwriting and documentation guidelines were not evident in the 2005 10-K.  Fannie did state it was increasing its level of participation in this space but was </w:t>
      </w:r>
      <w:r>
        <w:t>not specific</w:t>
      </w:r>
      <w:r w:rsidRPr="00E2660C">
        <w:t xml:space="preserve"> in terms of product classification, business volume, and concentration of the single family book of business.</w:t>
      </w:r>
      <w:r w:rsidRPr="00E2660C">
        <w:rPr>
          <w:rStyle w:val="FootnoteReference"/>
        </w:rPr>
        <w:footnoteReference w:id="49"/>
      </w:r>
    </w:p>
    <w:p w:rsidR="00736BC1" w:rsidRDefault="00736BC1" w:rsidP="00736BC1">
      <w:pPr>
        <w:autoSpaceDE w:val="0"/>
        <w:autoSpaceDN w:val="0"/>
        <w:adjustRightInd w:val="0"/>
        <w:jc w:val="both"/>
      </w:pPr>
    </w:p>
    <w:p w:rsidR="00736BC1" w:rsidRPr="00E2660C" w:rsidRDefault="00736BC1" w:rsidP="00736BC1">
      <w:pPr>
        <w:autoSpaceDE w:val="0"/>
        <w:autoSpaceDN w:val="0"/>
        <w:adjustRightInd w:val="0"/>
        <w:jc w:val="both"/>
        <w:rPr>
          <w:iCs/>
        </w:rPr>
      </w:pPr>
      <w:r>
        <w:lastRenderedPageBreak/>
        <w:t xml:space="preserve">In the </w:t>
      </w:r>
      <w:r w:rsidRPr="00642704">
        <w:rPr>
          <w:b/>
          <w:iCs/>
        </w:rPr>
        <w:t>2007 Form 10-K</w:t>
      </w:r>
      <w:r>
        <w:rPr>
          <w:b/>
          <w:iCs/>
        </w:rPr>
        <w:t xml:space="preserve">, </w:t>
      </w:r>
      <w:r w:rsidRPr="00E2660C">
        <w:rPr>
          <w:iCs/>
        </w:rPr>
        <w:t xml:space="preserve">Fannie disclosed the subprime classification criteria that was included in the 3Q08 Form 10-Q, but did not include the bolded portion </w:t>
      </w:r>
      <w:r>
        <w:rPr>
          <w:iCs/>
        </w:rPr>
        <w:t>that referenced the existence of other loans which might also meet the subprime and Alt-A criteria:</w:t>
      </w:r>
    </w:p>
    <w:p w:rsidR="00736BC1" w:rsidRPr="00E2660C" w:rsidRDefault="00736BC1" w:rsidP="00736BC1">
      <w:pPr>
        <w:autoSpaceDE w:val="0"/>
        <w:autoSpaceDN w:val="0"/>
        <w:adjustRightInd w:val="0"/>
        <w:jc w:val="both"/>
        <w:rPr>
          <w:i/>
          <w:iCs/>
        </w:rPr>
      </w:pPr>
      <w:r w:rsidRPr="00E2660C">
        <w:rPr>
          <w:i/>
          <w:iCs/>
        </w:rPr>
        <w:t xml:space="preserve">  </w:t>
      </w:r>
    </w:p>
    <w:p w:rsidR="00736BC1" w:rsidRPr="008A0990" w:rsidRDefault="00736BC1" w:rsidP="00736BC1">
      <w:pPr>
        <w:autoSpaceDE w:val="0"/>
        <w:autoSpaceDN w:val="0"/>
        <w:adjustRightInd w:val="0"/>
        <w:ind w:left="720" w:right="720"/>
        <w:jc w:val="both"/>
        <w:rPr>
          <w:b/>
        </w:rPr>
      </w:pPr>
      <w:r w:rsidRPr="00E2660C">
        <w:rPr>
          <w:i/>
          <w:iCs/>
        </w:rPr>
        <w:t>“</w:t>
      </w:r>
      <w:r w:rsidRPr="00E2660C">
        <w:t xml:space="preserve">Subprime mortgage loans are typically originated by lenders specializing in these loans or by subprime divisions of large lenders, using processes unique to subprime </w:t>
      </w:r>
      <w:r w:rsidRPr="008A0990">
        <w:t>loans. In reporting our subprime exposure, we have classified mortgage loans as subprime if the mortgage loans are originated by one of these specialty lenders or a subprime division of a large lender.”</w:t>
      </w:r>
      <w:r w:rsidRPr="008A0990">
        <w:rPr>
          <w:rStyle w:val="FootnoteReference"/>
        </w:rPr>
        <w:footnoteReference w:id="50"/>
      </w:r>
      <w:r w:rsidRPr="008A0990">
        <w:rPr>
          <w:b/>
        </w:rPr>
        <w:t xml:space="preserve">  </w:t>
      </w:r>
    </w:p>
    <w:p w:rsidR="00736BC1" w:rsidRPr="00E2660C" w:rsidRDefault="00736BC1" w:rsidP="00736BC1">
      <w:pPr>
        <w:autoSpaceDE w:val="0"/>
        <w:autoSpaceDN w:val="0"/>
        <w:adjustRightInd w:val="0"/>
        <w:ind w:left="720" w:right="720"/>
        <w:jc w:val="both"/>
      </w:pPr>
    </w:p>
    <w:p w:rsidR="00736BC1" w:rsidRPr="00E2660C" w:rsidRDefault="00736BC1" w:rsidP="00736BC1">
      <w:pPr>
        <w:autoSpaceDE w:val="0"/>
        <w:autoSpaceDN w:val="0"/>
        <w:adjustRightInd w:val="0"/>
        <w:ind w:left="720" w:right="720"/>
        <w:jc w:val="both"/>
      </w:pPr>
      <w:r w:rsidRPr="00E2660C">
        <w:t xml:space="preserve">Subprime mortgage loans, whether held in our portfolio or backing Fannie Mae MBS, </w:t>
      </w:r>
      <w:r w:rsidRPr="008A0990">
        <w:t xml:space="preserve">represented </w:t>
      </w:r>
      <w:r w:rsidRPr="008A0990">
        <w:rPr>
          <w:i/>
        </w:rPr>
        <w:t>less than 1%</w:t>
      </w:r>
      <w:r w:rsidRPr="00E2660C">
        <w:t xml:space="preserve"> of our single-family business volume in each of 2007, 2006 and 2005.</w:t>
      </w:r>
      <w:r w:rsidRPr="00E2660C">
        <w:rPr>
          <w:rStyle w:val="FootnoteReference"/>
        </w:rPr>
        <w:footnoteReference w:id="51"/>
      </w:r>
      <w:r w:rsidRPr="00E2660C">
        <w:t xml:space="preserve">  </w:t>
      </w:r>
    </w:p>
    <w:p w:rsidR="00736BC1" w:rsidRPr="00E2660C" w:rsidRDefault="00736BC1" w:rsidP="00736BC1">
      <w:pPr>
        <w:autoSpaceDE w:val="0"/>
        <w:autoSpaceDN w:val="0"/>
        <w:adjustRightInd w:val="0"/>
        <w:ind w:left="720" w:right="720"/>
        <w:jc w:val="both"/>
      </w:pPr>
    </w:p>
    <w:p w:rsidR="00736BC1" w:rsidRPr="00E2660C" w:rsidRDefault="00736BC1" w:rsidP="00736BC1">
      <w:pPr>
        <w:autoSpaceDE w:val="0"/>
        <w:autoSpaceDN w:val="0"/>
        <w:adjustRightInd w:val="0"/>
        <w:ind w:left="720" w:right="720"/>
        <w:jc w:val="both"/>
      </w:pPr>
      <w:r w:rsidRPr="00E2660C">
        <w:t xml:space="preserve">We estimate that subprime mortgage loans held in our portfolio or subprime mortgage loans backing Fannie Mae MBS, excluding re-securitized private label mortgage related securities backed by subprime mortgage loans, represented </w:t>
      </w:r>
      <w:r w:rsidRPr="008A0990">
        <w:t xml:space="preserve">approximately </w:t>
      </w:r>
      <w:r w:rsidRPr="008A0990">
        <w:rPr>
          <w:i/>
        </w:rPr>
        <w:t>0.3% of our single-family mortgage credit book of business</w:t>
      </w:r>
      <w:r w:rsidRPr="008A0990">
        <w:t xml:space="preserve"> as December 31, 2007, c</w:t>
      </w:r>
      <w:r w:rsidRPr="00E2660C">
        <w:t>ompared with 0.2% and 0.1% as of December 31, 206 and 2005, respectively.</w:t>
      </w:r>
      <w:r w:rsidRPr="00E2660C">
        <w:rPr>
          <w:rStyle w:val="FootnoteReference"/>
        </w:rPr>
        <w:footnoteReference w:id="52"/>
      </w:r>
    </w:p>
    <w:p w:rsidR="00736BC1" w:rsidRPr="00E2660C" w:rsidRDefault="00736BC1" w:rsidP="00736BC1">
      <w:pPr>
        <w:autoSpaceDE w:val="0"/>
        <w:autoSpaceDN w:val="0"/>
        <w:adjustRightInd w:val="0"/>
        <w:ind w:left="720" w:right="720"/>
        <w:jc w:val="both"/>
      </w:pPr>
    </w:p>
    <w:p w:rsidR="00736BC1" w:rsidRPr="00E2660C" w:rsidRDefault="00736BC1" w:rsidP="00736BC1">
      <w:pPr>
        <w:autoSpaceDE w:val="0"/>
        <w:autoSpaceDN w:val="0"/>
        <w:adjustRightInd w:val="0"/>
        <w:ind w:left="720" w:right="720"/>
        <w:jc w:val="both"/>
      </w:pPr>
      <w:r w:rsidRPr="00E2660C">
        <w:t>As of December 31, 2007, we held or guaranteed approximately …$41.4 billion in private−label mortgage−related securities backed by subprime loans.</w:t>
      </w:r>
      <w:r w:rsidRPr="00E2660C">
        <w:rPr>
          <w:rStyle w:val="FootnoteReference"/>
        </w:rPr>
        <w:footnoteReference w:id="53"/>
      </w:r>
    </w:p>
    <w:p w:rsidR="00736BC1" w:rsidRPr="00E2660C" w:rsidRDefault="00736BC1" w:rsidP="00736BC1">
      <w:pPr>
        <w:autoSpaceDE w:val="0"/>
        <w:autoSpaceDN w:val="0"/>
        <w:adjustRightInd w:val="0"/>
        <w:jc w:val="both"/>
        <w:rPr>
          <w:iCs/>
        </w:rPr>
      </w:pPr>
    </w:p>
    <w:p w:rsidR="00736BC1" w:rsidRPr="00F13359" w:rsidRDefault="00736BC1" w:rsidP="00736BC1">
      <w:pPr>
        <w:jc w:val="both"/>
      </w:pPr>
      <w:r w:rsidRPr="00E2660C">
        <w:t xml:space="preserve">However, Fannie also disclosed </w:t>
      </w:r>
      <w:r>
        <w:t xml:space="preserve">for 2007 </w:t>
      </w:r>
      <w:r w:rsidRPr="00E2660C">
        <w:t>the percent of loans acquired and overall loans by FICO band.</w:t>
      </w:r>
      <w:r w:rsidRPr="00E2660C">
        <w:rPr>
          <w:rStyle w:val="FootnoteReference"/>
        </w:rPr>
        <w:footnoteReference w:id="54"/>
      </w:r>
      <w:r w:rsidRPr="00E2660C">
        <w:t xml:space="preserve">  For example, Fannie reported that 5% of the conventional single-family book of business in 2005, 2006 and 2007 included loans where the borrower’s FICO score was less than 620 and 10% of the conventional single-family book of business in 2005, 2006 and 2007 included loans where the borrower’s FICO score was between 620 and 660.</w:t>
      </w:r>
      <w:r w:rsidRPr="00E2660C">
        <w:rPr>
          <w:rStyle w:val="FootnoteReference"/>
        </w:rPr>
        <w:footnoteReference w:id="55"/>
      </w:r>
      <w:r w:rsidRPr="00E2660C">
        <w:t xml:space="preserve">  Thus, although Fannie represented subprime loans </w:t>
      </w:r>
      <w:r>
        <w:t>as</w:t>
      </w:r>
      <w:r w:rsidRPr="00E2660C">
        <w:t xml:space="preserve"> approximately 0.3% of the single family book of business at 12/31/07 using its definition of subprime, Fannie also disclosed that 15% of the single family book of business included loans with FICO scores less </w:t>
      </w:r>
      <w:r w:rsidRPr="00F13359">
        <w:t xml:space="preserve">than 660. </w:t>
      </w:r>
    </w:p>
    <w:p w:rsidR="00736BC1" w:rsidRPr="00E2660C" w:rsidRDefault="00736BC1" w:rsidP="00736BC1">
      <w:pPr>
        <w:ind w:right="720"/>
        <w:jc w:val="both"/>
      </w:pPr>
      <w:r w:rsidRPr="00F13359">
        <w:t xml:space="preserve">Regarding Alt-A, Fannie disclosed the Alt-A classification criteria that was included in the 3Q08 Form 10-Q, ("We have classified mortgage loans as Alt-A if the lender that delivers the mortgage loan to us has classified the loan as Alt-A based on documentation or other features") but did not include the </w:t>
      </w:r>
      <w:r>
        <w:t>additional</w:t>
      </w:r>
      <w:r w:rsidRPr="00F13359">
        <w:t xml:space="preserve"> disclosure in the 3Q08 Form 10-Q</w:t>
      </w:r>
      <w:r>
        <w:t xml:space="preserve"> </w:t>
      </w:r>
      <w:r w:rsidRPr="00F13359">
        <w:t>which noted that there could be other loans held by Fannie Mae that had similar features</w:t>
      </w:r>
      <w:r>
        <w:t>.  Fannie Mae</w:t>
      </w:r>
      <w:r w:rsidRPr="00F13359">
        <w:t xml:space="preserve"> also represented</w:t>
      </w:r>
      <w:r w:rsidRPr="00E2660C">
        <w:t xml:space="preserve"> that “Alt−A mortgage loans, whether held in our portfolio or backing Fannie Mae MBS, represented approximately 16% of our single−family business volume in 2007, compared with approximately 22% and 16% in 2006 and 2005, respectively.”</w:t>
      </w:r>
      <w:r w:rsidRPr="00E2660C">
        <w:rPr>
          <w:rStyle w:val="FootnoteReference"/>
        </w:rPr>
        <w:footnoteReference w:id="56"/>
      </w:r>
    </w:p>
    <w:p w:rsidR="00736BC1" w:rsidRDefault="00736BC1" w:rsidP="00736BC1">
      <w:pPr>
        <w:autoSpaceDE w:val="0"/>
        <w:autoSpaceDN w:val="0"/>
        <w:adjustRightInd w:val="0"/>
        <w:jc w:val="both"/>
      </w:pPr>
      <w:r>
        <w:lastRenderedPageBreak/>
        <w:t>But</w:t>
      </w:r>
      <w:r w:rsidRPr="00E2660C">
        <w:t xml:space="preserve"> Fannie also disclosed the percent of loans acquired and overall loans by (1) the original LTV ratio, (2) the estimated mark-to-market LTV ratio, and (3) loan type including interest-only, adjustable rate or fixed, and negative amortization.  For example, Fannie reported that 10% of the conventional single-family book of business in 2007 included loans with original LTV ratios between 90% and 100%, and that 1% of the conventional single-family book of business in 2007 was comprised of negatively amortizing adjustable rate loans.</w:t>
      </w:r>
      <w:r w:rsidRPr="00E2660C">
        <w:rPr>
          <w:rStyle w:val="FootnoteReference"/>
        </w:rPr>
        <w:footnoteReference w:id="57"/>
      </w:r>
    </w:p>
    <w:p w:rsidR="00736BC1" w:rsidRDefault="00736BC1" w:rsidP="00736BC1">
      <w:pPr>
        <w:autoSpaceDE w:val="0"/>
        <w:autoSpaceDN w:val="0"/>
        <w:adjustRightInd w:val="0"/>
        <w:jc w:val="both"/>
      </w:pPr>
    </w:p>
    <w:p w:rsidR="00736BC1" w:rsidRDefault="00736BC1" w:rsidP="00736BC1">
      <w:pPr>
        <w:autoSpaceDE w:val="0"/>
        <w:autoSpaceDN w:val="0"/>
        <w:adjustRightInd w:val="0"/>
        <w:jc w:val="both"/>
      </w:pPr>
      <w:r>
        <w:t>Fannie Mae's disclosure in its</w:t>
      </w:r>
      <w:r w:rsidRPr="00B422FB">
        <w:t xml:space="preserve"> </w:t>
      </w:r>
      <w:r w:rsidRPr="00162563">
        <w:rPr>
          <w:b/>
        </w:rPr>
        <w:t>2006 Form 10-K</w:t>
      </w:r>
      <w:r w:rsidRPr="00B422FB">
        <w:t xml:space="preserve"> was very similar</w:t>
      </w:r>
      <w:r>
        <w:t xml:space="preserve"> to the 2007 disclosure.</w:t>
      </w:r>
    </w:p>
    <w:p w:rsidR="00736BC1" w:rsidRDefault="00736BC1" w:rsidP="00736BC1">
      <w:pPr>
        <w:autoSpaceDE w:val="0"/>
        <w:autoSpaceDN w:val="0"/>
        <w:adjustRightInd w:val="0"/>
        <w:jc w:val="both"/>
      </w:pPr>
    </w:p>
    <w:p w:rsidR="00736BC1" w:rsidRPr="00F13359" w:rsidRDefault="00736BC1" w:rsidP="00736BC1">
      <w:pPr>
        <w:autoSpaceDE w:val="0"/>
        <w:autoSpaceDN w:val="0"/>
        <w:adjustRightInd w:val="0"/>
        <w:jc w:val="both"/>
        <w:rPr>
          <w:b/>
        </w:rPr>
      </w:pPr>
      <w:r w:rsidRPr="00F13359">
        <w:rPr>
          <w:b/>
        </w:rPr>
        <w:t>Conclusion</w:t>
      </w:r>
    </w:p>
    <w:p w:rsidR="00736BC1" w:rsidRDefault="00736BC1" w:rsidP="00736BC1">
      <w:pPr>
        <w:autoSpaceDE w:val="0"/>
        <w:autoSpaceDN w:val="0"/>
        <w:adjustRightInd w:val="0"/>
        <w:jc w:val="both"/>
      </w:pPr>
    </w:p>
    <w:p w:rsidR="00736BC1" w:rsidRDefault="00736BC1" w:rsidP="00736BC1">
      <w:pPr>
        <w:autoSpaceDE w:val="0"/>
        <w:autoSpaceDN w:val="0"/>
        <w:adjustRightInd w:val="0"/>
        <w:jc w:val="both"/>
      </w:pPr>
      <w:r>
        <w:t>In summary, it appears that Fannie Mae certainly could have made better disclosure of its exposure to subprime and Alt-A loans in 2005 through 2008. Even in 2008 it is arguable that the Fannie Mae definition of subprime and Alt-A could have been more expansive. However, much of the information concerning Fannie Mae's exposure to those types of loans was available in 2006 and 2007 (even if Fannie Mae did not label them as such), and by 2008 they were explicitly calling attention to the definitional issues in their criteria for these types of loans.  In addition, it is problematic to use improved disclosure to show that earlier disclosure was inadequate, as to do so will make it more firms less likely to be willing to improve and enhance their disclosure as circumstances warrant. Finally, we have no information to indicate that their form of disclosure was intentionally deceptive or reckless (scienter) which is necessary for a claim under Section 10(b) of the Exchange Act .</w:t>
      </w:r>
    </w:p>
    <w:p w:rsidR="00736BC1" w:rsidRDefault="00736BC1" w:rsidP="00736BC1">
      <w:pPr>
        <w:autoSpaceDE w:val="0"/>
        <w:autoSpaceDN w:val="0"/>
        <w:adjustRightInd w:val="0"/>
        <w:jc w:val="both"/>
      </w:pPr>
    </w:p>
    <w:p w:rsidR="00736BC1" w:rsidRPr="00E2660C" w:rsidRDefault="00736BC1" w:rsidP="00736BC1">
      <w:pPr>
        <w:autoSpaceDE w:val="0"/>
        <w:autoSpaceDN w:val="0"/>
        <w:adjustRightInd w:val="0"/>
        <w:jc w:val="both"/>
      </w:pPr>
      <w:r>
        <w:t xml:space="preserve">For this reason, </w:t>
      </w:r>
      <w:r w:rsidRPr="005D0F89">
        <w:t>we conclude that this issue does not rise to the level of other issues that the FCIC has referred to the Attorney General</w:t>
      </w:r>
      <w:r>
        <w:t>.</w:t>
      </w:r>
    </w:p>
    <w:p w:rsidR="00736BC1" w:rsidRPr="00E2660C" w:rsidRDefault="00736BC1" w:rsidP="00736BC1">
      <w:pPr>
        <w:autoSpaceDE w:val="0"/>
        <w:autoSpaceDN w:val="0"/>
        <w:adjustRightInd w:val="0"/>
        <w:jc w:val="both"/>
        <w:rPr>
          <w:iCs/>
        </w:rPr>
      </w:pPr>
    </w:p>
    <w:p w:rsidR="00736BC1" w:rsidRPr="00E2660C" w:rsidRDefault="00736BC1" w:rsidP="00736BC1">
      <w:pPr>
        <w:autoSpaceDE w:val="0"/>
        <w:autoSpaceDN w:val="0"/>
        <w:adjustRightInd w:val="0"/>
        <w:jc w:val="both"/>
        <w:rPr>
          <w:iCs/>
        </w:rPr>
      </w:pPr>
    </w:p>
    <w:p w:rsidR="00736BC1" w:rsidRPr="00E2660C" w:rsidRDefault="00736BC1" w:rsidP="00736BC1">
      <w:pPr>
        <w:tabs>
          <w:tab w:val="left" w:pos="3348"/>
        </w:tabs>
        <w:autoSpaceDE w:val="0"/>
        <w:autoSpaceDN w:val="0"/>
        <w:adjustRightInd w:val="0"/>
        <w:jc w:val="both"/>
        <w:outlineLvl w:val="0"/>
        <w:rPr>
          <w:b/>
        </w:rPr>
      </w:pPr>
    </w:p>
    <w:p w:rsidR="00736BC1" w:rsidRPr="00E2660C" w:rsidRDefault="00736BC1" w:rsidP="00736BC1">
      <w:pPr>
        <w:jc w:val="both"/>
        <w:rPr>
          <w:vertAlign w:val="superscript"/>
        </w:rPr>
      </w:pPr>
    </w:p>
    <w:p w:rsidR="00736BC1" w:rsidRPr="00E2660C" w:rsidRDefault="00736BC1" w:rsidP="00736BC1">
      <w:pPr>
        <w:jc w:val="both"/>
        <w:rPr>
          <w:vertAlign w:val="superscript"/>
        </w:rPr>
      </w:pPr>
      <w:r>
        <w:rPr>
          <w:vertAlign w:val="superscript"/>
        </w:rPr>
        <w:t>4843-1279-0279, v.  4</w:t>
      </w:r>
    </w:p>
    <w:p w:rsidR="00736BC1" w:rsidRPr="002A092D" w:rsidRDefault="00736BC1" w:rsidP="00736BC1"/>
    <w:p w:rsidR="00643266" w:rsidRDefault="00643266" w:rsidP="00643266">
      <w:pPr>
        <w:spacing w:before="100" w:beforeAutospacing="1" w:after="100" w:afterAutospacing="1"/>
        <w:jc w:val="both"/>
      </w:pPr>
    </w:p>
    <w:p w:rsidR="00643266" w:rsidRPr="00643266" w:rsidRDefault="00643266" w:rsidP="00643266"/>
    <w:sectPr w:rsidR="00643266" w:rsidRPr="00643266" w:rsidSect="008D4797">
      <w:headerReference w:type="even" r:id="rId12"/>
      <w:headerReference w:type="default" r:id="rId13"/>
      <w:footerReference w:type="even" r:id="rId14"/>
      <w:footerReference w:type="default" r:id="rId15"/>
      <w:headerReference w:type="first" r:id="rId16"/>
      <w:footerReference w:type="first" r:id="rId17"/>
      <w:pgSz w:w="12240" w:h="15840"/>
      <w:pgMar w:top="81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10" w:rsidRDefault="00A95310">
      <w:r>
        <w:separator/>
      </w:r>
    </w:p>
  </w:endnote>
  <w:endnote w:type="continuationSeparator" w:id="0">
    <w:p w:rsidR="00A95310" w:rsidRDefault="00A95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16" w:rsidRDefault="00AA66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16" w:rsidRDefault="00AA6616">
    <w:pPr>
      <w:pStyle w:val="Footer"/>
      <w:jc w:val="right"/>
    </w:pPr>
    <w:r>
      <w:t xml:space="preserve">Page </w:t>
    </w:r>
    <w:r>
      <w:rPr>
        <w:b/>
      </w:rPr>
      <w:fldChar w:fldCharType="begin"/>
    </w:r>
    <w:r>
      <w:rPr>
        <w:b/>
      </w:rPr>
      <w:instrText xml:space="preserve"> PAGE </w:instrText>
    </w:r>
    <w:r>
      <w:rPr>
        <w:b/>
      </w:rPr>
      <w:fldChar w:fldCharType="separate"/>
    </w:r>
    <w:r w:rsidR="0029378C">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29378C">
      <w:rPr>
        <w:b/>
        <w:noProof/>
      </w:rPr>
      <w:t>42</w:t>
    </w:r>
    <w:r>
      <w:rPr>
        <w:b/>
      </w:rPr>
      <w:fldChar w:fldCharType="end"/>
    </w:r>
  </w:p>
  <w:p w:rsidR="00AA6616" w:rsidRPr="00E60998" w:rsidRDefault="00AA6616" w:rsidP="00D7242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16" w:rsidRDefault="00AA6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10" w:rsidRDefault="00A95310">
      <w:r>
        <w:separator/>
      </w:r>
    </w:p>
  </w:footnote>
  <w:footnote w:type="continuationSeparator" w:id="0">
    <w:p w:rsidR="00A95310" w:rsidRDefault="00A95310">
      <w:r>
        <w:continuationSeparator/>
      </w:r>
    </w:p>
  </w:footnote>
  <w:footnote w:id="1">
    <w:p w:rsidR="00AA6616" w:rsidRPr="00AC414B" w:rsidRDefault="00AA6616" w:rsidP="00FD1554">
      <w:pPr>
        <w:pStyle w:val="FootnoteText"/>
      </w:pPr>
      <w:r w:rsidRPr="007D1194">
        <w:rPr>
          <w:rStyle w:val="FootnoteReference"/>
        </w:rPr>
        <w:footnoteRef/>
      </w:r>
      <w:r w:rsidRPr="007D1194">
        <w:t xml:space="preserve"> To achieve the final failure rate.</w:t>
      </w:r>
    </w:p>
  </w:footnote>
  <w:footnote w:id="2">
    <w:p w:rsidR="00AA6616" w:rsidRDefault="00AA6616" w:rsidP="00FD1554">
      <w:pPr>
        <w:pStyle w:val="FootnoteText"/>
      </w:pPr>
      <w:r w:rsidRPr="007D1194">
        <w:rPr>
          <w:rStyle w:val="FootnoteReference"/>
        </w:rPr>
        <w:footnoteRef/>
      </w:r>
      <w:r w:rsidRPr="007D1194">
        <w:t xml:space="preserve"> After waivers.</w:t>
      </w:r>
    </w:p>
  </w:footnote>
  <w:footnote w:id="3">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All Clayton Trending Reports, 1</w:t>
      </w:r>
      <w:r w:rsidRPr="0030288F">
        <w:rPr>
          <w:sz w:val="16"/>
          <w:szCs w:val="16"/>
          <w:vertAlign w:val="superscript"/>
        </w:rPr>
        <w:t>st</w:t>
      </w:r>
      <w:r w:rsidRPr="0030288F">
        <w:rPr>
          <w:sz w:val="16"/>
          <w:szCs w:val="16"/>
        </w:rPr>
        <w:t xml:space="preserve"> Quarter 2006 – 2</w:t>
      </w:r>
      <w:r w:rsidRPr="0030288F">
        <w:rPr>
          <w:sz w:val="16"/>
          <w:szCs w:val="16"/>
          <w:vertAlign w:val="superscript"/>
        </w:rPr>
        <w:t>nd</w:t>
      </w:r>
      <w:r w:rsidRPr="0030288F">
        <w:rPr>
          <w:sz w:val="16"/>
          <w:szCs w:val="16"/>
        </w:rPr>
        <w:t xml:space="preserve"> Quarter 2007</w:t>
      </w:r>
    </w:p>
  </w:footnote>
  <w:footnote w:id="4">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w:t>
      </w:r>
      <w:r w:rsidRPr="0030288F">
        <w:rPr>
          <w:i/>
          <w:sz w:val="16"/>
          <w:szCs w:val="16"/>
        </w:rPr>
        <w:t>Basic Inc. v. Levinson</w:t>
      </w:r>
      <w:r w:rsidRPr="0030288F">
        <w:rPr>
          <w:sz w:val="16"/>
          <w:szCs w:val="16"/>
        </w:rPr>
        <w:t>, 485 U.S. 224, 232 (1988).</w:t>
      </w:r>
    </w:p>
  </w:footnote>
  <w:footnote w:id="5">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Memorandum from Christopher Dickerson, Acting Deputy Director, Division of Enterprise Regulation to James B. Lockhart, Director, Federal Home Finance Agency, September 6, 2008, re: Proposed Appointment of the Federal Housing Finance Agency as Conservator for the Federal National Mortgage Association at 19.  (hereinafter “Conservator Memo”). </w:t>
      </w:r>
    </w:p>
  </w:footnote>
  <w:footnote w:id="6">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Conservator Memo at 21.</w:t>
      </w:r>
    </w:p>
  </w:footnote>
  <w:footnote w:id="7">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OCC5-00076169, Office of the Comptroller of the Currency, Observations-Allowance Process and Methodology at 2.</w:t>
      </w:r>
    </w:p>
  </w:footnote>
  <w:footnote w:id="8">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FCIC, Preliminary Draft Investigative Findings on Fannie Mae, March 31, 2010, at 57. </w:t>
      </w:r>
    </w:p>
  </w:footnote>
  <w:footnote w:id="9">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Conservator’s Memo at 6 (2005 condition), 8 (2006 condition), 11 (2007 condition) and 13-15 (2008 condition). </w:t>
      </w:r>
    </w:p>
  </w:footnote>
  <w:footnote w:id="10">
    <w:p w:rsidR="00AA6616" w:rsidRPr="0030288F" w:rsidRDefault="00AA6616" w:rsidP="00FD1554">
      <w:pPr>
        <w:pStyle w:val="FootnoteText"/>
        <w:rPr>
          <w:sz w:val="16"/>
          <w:szCs w:val="16"/>
        </w:rPr>
      </w:pPr>
      <w:r w:rsidRPr="0030288F">
        <w:rPr>
          <w:rStyle w:val="FootnoteReference"/>
          <w:sz w:val="16"/>
          <w:szCs w:val="16"/>
        </w:rPr>
        <w:footnoteRef/>
      </w:r>
      <w:r>
        <w:rPr>
          <w:sz w:val="16"/>
          <w:szCs w:val="16"/>
        </w:rPr>
        <w:t xml:space="preserve"> UBS-CT 021485 (PSI Exh. 94o)</w:t>
      </w:r>
      <w:r w:rsidRPr="0030288F">
        <w:rPr>
          <w:sz w:val="16"/>
          <w:szCs w:val="16"/>
        </w:rPr>
        <w:t>.</w:t>
      </w:r>
    </w:p>
  </w:footnote>
  <w:footnote w:id="11">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Memorandum of Decision on Plaintiffs’ Application for Prejudgment Remedy, </w:t>
      </w:r>
      <w:r w:rsidRPr="0030288F">
        <w:rPr>
          <w:i/>
          <w:sz w:val="16"/>
          <w:szCs w:val="16"/>
        </w:rPr>
        <w:t>Pursuit Partners, LLC v. UBS AG</w:t>
      </w:r>
      <w:r w:rsidRPr="0030288F">
        <w:rPr>
          <w:sz w:val="16"/>
          <w:szCs w:val="16"/>
        </w:rPr>
        <w:t xml:space="preserve">, Stamford Superior Court No. XO5CV084013452S (Complex Litigation Docket). </w:t>
      </w:r>
    </w:p>
  </w:footnote>
  <w:footnote w:id="12">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CITI-FCIC 00002793, “Risk Management Review: An Update to the Corporate Audit and Risk Management Committee,” October 15, 2007. </w:t>
      </w:r>
    </w:p>
  </w:footnote>
  <w:footnote w:id="13">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15 U.S.C. § 7241.</w:t>
      </w:r>
    </w:p>
  </w:footnote>
  <w:footnote w:id="14">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FCIC-Citi-000198, letter from the Federal Reserve Board of New York to Vickram Pandit and the Board of Directors of Citigroup, April 15, 2008, at 8.</w:t>
      </w:r>
    </w:p>
  </w:footnote>
  <w:footnote w:id="15">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GS MBS-E009978118, e-mail from Craig Broderick to Dan Sparks, May 11, 2007.</w:t>
      </w:r>
    </w:p>
  </w:footnote>
  <w:footnote w:id="16">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Complaint, </w:t>
      </w:r>
      <w:r w:rsidRPr="0030288F">
        <w:rPr>
          <w:i/>
          <w:sz w:val="16"/>
          <w:szCs w:val="16"/>
        </w:rPr>
        <w:t>SEC v, Ralph R. Cioffi and Matthew M. Tannin</w:t>
      </w:r>
      <w:r w:rsidRPr="0030288F">
        <w:rPr>
          <w:sz w:val="16"/>
          <w:szCs w:val="16"/>
        </w:rPr>
        <w:t>, Civ. No. 08-2457, June 19, 2008.</w:t>
      </w:r>
    </w:p>
  </w:footnote>
  <w:footnote w:id="17">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AIIIG SEC 2035262, e-mail from Andrew Forster to Joseph Cassano, August 2, 2007.</w:t>
      </w:r>
    </w:p>
  </w:footnote>
  <w:footnote w:id="18">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MFR of Joseph Cassano (June 25, 2010) at 3.</w:t>
      </w:r>
    </w:p>
  </w:footnote>
  <w:footnote w:id="19">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AIG SEC2152433, e-mail from Andrew Forster to Joseph Cassano (with attached spreadsheet), November 9, 2007.</w:t>
      </w:r>
    </w:p>
  </w:footnote>
  <w:footnote w:id="20">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AIG FCIC00382794, e-mail from Tom Athan to Joseph Cassano, January 1, 2008.</w:t>
      </w:r>
    </w:p>
  </w:footnote>
  <w:footnote w:id="21">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MFR of Joseph Cassano (June 25, 2010) at 4.</w:t>
      </w:r>
    </w:p>
  </w:footnote>
  <w:footnote w:id="22">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AIG-SEC5981397-99</w:t>
      </w:r>
    </w:p>
  </w:footnote>
  <w:footnote w:id="23">
    <w:p w:rsidR="00AA6616" w:rsidRPr="0030288F"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PWC-FCIC 000381-383 at 381.</w:t>
      </w:r>
    </w:p>
  </w:footnote>
  <w:footnote w:id="24">
    <w:p w:rsidR="00AA6616" w:rsidRPr="006B7754" w:rsidRDefault="00AA6616" w:rsidP="00FD1554">
      <w:pPr>
        <w:pStyle w:val="FootnoteText"/>
        <w:rPr>
          <w:sz w:val="16"/>
          <w:szCs w:val="16"/>
        </w:rPr>
      </w:pPr>
      <w:r w:rsidRPr="0030288F">
        <w:rPr>
          <w:rStyle w:val="FootnoteReference"/>
          <w:sz w:val="16"/>
          <w:szCs w:val="16"/>
        </w:rPr>
        <w:footnoteRef/>
      </w:r>
      <w:r w:rsidRPr="0030288F">
        <w:rPr>
          <w:sz w:val="16"/>
          <w:szCs w:val="16"/>
        </w:rPr>
        <w:t xml:space="preserve"> </w:t>
      </w:r>
      <w:r w:rsidRPr="0030288F">
        <w:rPr>
          <w:i/>
          <w:sz w:val="16"/>
          <w:szCs w:val="16"/>
        </w:rPr>
        <w:t xml:space="preserve">Stoneridge Investment Partners, LLC v. Scientific Atlanta, Inc., </w:t>
      </w:r>
      <w:r w:rsidRPr="0030288F">
        <w:rPr>
          <w:sz w:val="16"/>
          <w:szCs w:val="16"/>
        </w:rPr>
        <w:t>552 U.S. __, 128 S</w:t>
      </w:r>
      <w:r>
        <w:rPr>
          <w:sz w:val="16"/>
          <w:szCs w:val="16"/>
        </w:rPr>
        <w:t>.</w:t>
      </w:r>
      <w:r w:rsidRPr="0030288F">
        <w:rPr>
          <w:sz w:val="16"/>
          <w:szCs w:val="16"/>
        </w:rPr>
        <w:t xml:space="preserve">Ct. 761 (2008), citing </w:t>
      </w:r>
      <w:r w:rsidRPr="0030288F">
        <w:rPr>
          <w:i/>
          <w:sz w:val="16"/>
          <w:szCs w:val="16"/>
        </w:rPr>
        <w:t>Alexander v. Sandoval</w:t>
      </w:r>
      <w:r w:rsidRPr="0030288F">
        <w:rPr>
          <w:sz w:val="16"/>
          <w:szCs w:val="16"/>
        </w:rPr>
        <w:t>, 532 U.S. 275, 290 (2001).</w:t>
      </w:r>
    </w:p>
  </w:footnote>
  <w:footnote w:id="25">
    <w:p w:rsidR="00AA6616" w:rsidRDefault="00AA6616" w:rsidP="00FD1554">
      <w:pPr>
        <w:pStyle w:val="FootnoteText"/>
      </w:pPr>
      <w:r w:rsidRPr="006B7754">
        <w:rPr>
          <w:rStyle w:val="FootnoteReference"/>
        </w:rPr>
        <w:footnoteRef/>
      </w:r>
      <w:r w:rsidRPr="006B7754">
        <w:t xml:space="preserve"> </w:t>
      </w:r>
      <w:r>
        <w:rPr>
          <w:sz w:val="16"/>
          <w:szCs w:val="16"/>
        </w:rPr>
        <w:t>MFR of Steve Eisman (April 22, 2010, April 28, 2010) at 11.</w:t>
      </w:r>
    </w:p>
  </w:footnote>
  <w:footnote w:id="26">
    <w:p w:rsidR="00AA6616" w:rsidRPr="00BC7337" w:rsidRDefault="00AA6616" w:rsidP="00643266">
      <w:pPr>
        <w:pStyle w:val="FootnoteText"/>
        <w:rPr>
          <w:sz w:val="16"/>
          <w:szCs w:val="16"/>
        </w:rPr>
      </w:pPr>
      <w:r w:rsidRPr="00BC7337">
        <w:rPr>
          <w:rStyle w:val="FootnoteReference"/>
          <w:sz w:val="16"/>
          <w:szCs w:val="16"/>
        </w:rPr>
        <w:footnoteRef/>
      </w:r>
      <w:r w:rsidRPr="00BC7337">
        <w:rPr>
          <w:sz w:val="16"/>
          <w:szCs w:val="16"/>
        </w:rPr>
        <w:t xml:space="preserve"> 4/27/07 U.S. Residential Mortgage Update, BAC-ML-CDO-000076828-6861, at 6847-54. </w:t>
      </w:r>
    </w:p>
  </w:footnote>
  <w:footnote w:id="27">
    <w:p w:rsidR="00AA6616" w:rsidRPr="00BC7337" w:rsidRDefault="00AA6616" w:rsidP="00643266">
      <w:pPr>
        <w:pStyle w:val="FootnoteText"/>
        <w:rPr>
          <w:sz w:val="16"/>
          <w:szCs w:val="16"/>
        </w:rPr>
      </w:pPr>
      <w:r w:rsidRPr="00BC7337">
        <w:rPr>
          <w:rStyle w:val="FootnoteReference"/>
          <w:sz w:val="16"/>
          <w:szCs w:val="16"/>
        </w:rPr>
        <w:footnoteRef/>
      </w:r>
      <w:r w:rsidRPr="00BC7337">
        <w:rPr>
          <w:sz w:val="16"/>
          <w:szCs w:val="16"/>
        </w:rPr>
        <w:t xml:space="preserve"> 11/29/07 Senior Supervisors Meetings, Merrill Lynch, November 29, 2007; FCIC-125522-527 at 125523 and 125525. </w:t>
      </w:r>
    </w:p>
  </w:footnote>
  <w:footnote w:id="28">
    <w:p w:rsidR="00AA6616" w:rsidRPr="00221BA6" w:rsidRDefault="00AA6616" w:rsidP="00643266">
      <w:pPr>
        <w:pStyle w:val="FootnoteText"/>
        <w:rPr>
          <w:sz w:val="16"/>
          <w:szCs w:val="16"/>
        </w:rPr>
      </w:pPr>
      <w:r w:rsidRPr="00221BA6">
        <w:rPr>
          <w:rStyle w:val="FootnoteReference"/>
          <w:sz w:val="16"/>
          <w:szCs w:val="16"/>
        </w:rPr>
        <w:footnoteRef/>
      </w:r>
      <w:r w:rsidRPr="00221BA6">
        <w:rPr>
          <w:sz w:val="16"/>
          <w:szCs w:val="16"/>
        </w:rPr>
        <w:t xml:space="preserve"> BAC-ML-CDO 000057429-782 (Offering Circular); 59222-301 (marketing materials); 59153-164 (NIR engagement letter). </w:t>
      </w:r>
    </w:p>
  </w:footnote>
  <w:footnote w:id="29">
    <w:p w:rsidR="00AA6616" w:rsidRPr="00221BA6" w:rsidRDefault="00AA6616" w:rsidP="00643266">
      <w:pPr>
        <w:rPr>
          <w:sz w:val="16"/>
          <w:szCs w:val="16"/>
        </w:rPr>
      </w:pPr>
      <w:r w:rsidRPr="00221BA6">
        <w:rPr>
          <w:rStyle w:val="FootnoteReference"/>
          <w:sz w:val="16"/>
          <w:szCs w:val="16"/>
        </w:rPr>
        <w:footnoteRef/>
      </w:r>
      <w:r w:rsidRPr="00221BA6">
        <w:rPr>
          <w:sz w:val="16"/>
          <w:szCs w:val="16"/>
        </w:rPr>
        <w:t xml:space="preserve"> Suresh Sundaresan, “Fixed Income Markets and their Derivatives,” Academic Press, p. 400 (2009).</w:t>
      </w:r>
    </w:p>
  </w:footnote>
  <w:footnote w:id="30">
    <w:p w:rsidR="00AA6616" w:rsidRPr="00221BA6" w:rsidRDefault="00AA6616" w:rsidP="00643266">
      <w:pPr>
        <w:pStyle w:val="FootnoteText"/>
        <w:rPr>
          <w:sz w:val="16"/>
          <w:szCs w:val="16"/>
        </w:rPr>
      </w:pPr>
      <w:r w:rsidRPr="00221BA6">
        <w:rPr>
          <w:rStyle w:val="FootnoteReference"/>
          <w:sz w:val="16"/>
          <w:szCs w:val="16"/>
        </w:rPr>
        <w:footnoteRef/>
      </w:r>
      <w:r w:rsidRPr="00221BA6">
        <w:rPr>
          <w:sz w:val="16"/>
          <w:szCs w:val="16"/>
        </w:rPr>
        <w:t xml:space="preserve"> Preliminary Offering Circular of Norma CDO I LTD and Norma CDO I LLC dated January 18, 2007, p 5.</w:t>
      </w:r>
    </w:p>
  </w:footnote>
  <w:footnote w:id="31">
    <w:p w:rsidR="00AA6616" w:rsidRPr="00221BA6" w:rsidRDefault="00AA6616" w:rsidP="00643266">
      <w:pPr>
        <w:pStyle w:val="FootnoteText"/>
        <w:rPr>
          <w:sz w:val="16"/>
          <w:szCs w:val="16"/>
        </w:rPr>
      </w:pPr>
      <w:r w:rsidRPr="00221BA6">
        <w:rPr>
          <w:rStyle w:val="FootnoteReference"/>
          <w:sz w:val="16"/>
          <w:szCs w:val="16"/>
        </w:rPr>
        <w:footnoteRef/>
      </w:r>
      <w:r w:rsidRPr="00221BA6">
        <w:rPr>
          <w:sz w:val="16"/>
          <w:szCs w:val="16"/>
        </w:rPr>
        <w:t xml:space="preserve"> Preliminary Offering Circular of Norma CDO I LTD and Norma CDO I LLC dated January 18, 2007, p 197.</w:t>
      </w:r>
    </w:p>
  </w:footnote>
  <w:footnote w:id="32">
    <w:p w:rsidR="00AA6616" w:rsidRPr="00221BA6" w:rsidRDefault="00AA6616" w:rsidP="00643266">
      <w:pPr>
        <w:pStyle w:val="FootnoteText"/>
        <w:rPr>
          <w:sz w:val="16"/>
          <w:szCs w:val="16"/>
        </w:rPr>
      </w:pPr>
      <w:r w:rsidRPr="00221BA6">
        <w:rPr>
          <w:rStyle w:val="FootnoteReference"/>
          <w:sz w:val="16"/>
          <w:szCs w:val="16"/>
        </w:rPr>
        <w:footnoteRef/>
      </w:r>
      <w:r w:rsidRPr="00221BA6">
        <w:rPr>
          <w:sz w:val="16"/>
          <w:szCs w:val="16"/>
        </w:rPr>
        <w:t xml:space="preserve"> BAC-ML-CDO-000079743 (Magnetar investments in Norma); BAC-ML-CDO-000059221 (fees received).</w:t>
      </w:r>
    </w:p>
  </w:footnote>
  <w:footnote w:id="33">
    <w:p w:rsidR="00AA6616" w:rsidRPr="00221BA6" w:rsidRDefault="00AA6616" w:rsidP="00643266">
      <w:pPr>
        <w:pStyle w:val="FootnoteText"/>
        <w:rPr>
          <w:sz w:val="16"/>
          <w:szCs w:val="16"/>
        </w:rPr>
      </w:pPr>
      <w:r w:rsidRPr="00221BA6">
        <w:rPr>
          <w:rStyle w:val="FootnoteReference"/>
          <w:sz w:val="16"/>
          <w:szCs w:val="16"/>
        </w:rPr>
        <w:footnoteRef/>
      </w:r>
      <w:r w:rsidRPr="00221BA6">
        <w:rPr>
          <w:sz w:val="16"/>
          <w:szCs w:val="16"/>
        </w:rPr>
        <w:t xml:space="preserve"> Document provided by Rabobank’s counsel, ML01395145.</w:t>
      </w:r>
    </w:p>
  </w:footnote>
  <w:footnote w:id="34">
    <w:p w:rsidR="00AA6616" w:rsidRPr="00221BA6" w:rsidRDefault="00AA6616" w:rsidP="00643266">
      <w:pPr>
        <w:pStyle w:val="FootnoteText"/>
        <w:rPr>
          <w:sz w:val="16"/>
          <w:szCs w:val="16"/>
        </w:rPr>
      </w:pPr>
      <w:r w:rsidRPr="00221BA6">
        <w:rPr>
          <w:rStyle w:val="FootnoteReference"/>
          <w:sz w:val="16"/>
          <w:szCs w:val="16"/>
        </w:rPr>
        <w:footnoteRef/>
      </w:r>
      <w:r w:rsidRPr="00221BA6">
        <w:rPr>
          <w:sz w:val="16"/>
          <w:szCs w:val="16"/>
        </w:rPr>
        <w:t xml:space="preserve"> Document provided by Rabobank’s counsel, ML01396714.</w:t>
      </w:r>
    </w:p>
  </w:footnote>
  <w:footnote w:id="35">
    <w:p w:rsidR="00AA6616" w:rsidRPr="00221BA6" w:rsidRDefault="00AA6616" w:rsidP="00643266">
      <w:pPr>
        <w:pStyle w:val="FootnoteText"/>
        <w:rPr>
          <w:sz w:val="16"/>
          <w:szCs w:val="16"/>
        </w:rPr>
      </w:pPr>
      <w:r w:rsidRPr="00221BA6">
        <w:rPr>
          <w:rStyle w:val="FootnoteReference"/>
          <w:sz w:val="16"/>
          <w:szCs w:val="16"/>
        </w:rPr>
        <w:footnoteRef/>
      </w:r>
      <w:r w:rsidRPr="00221BA6">
        <w:rPr>
          <w:sz w:val="16"/>
          <w:szCs w:val="16"/>
        </w:rPr>
        <w:t xml:space="preserve"> Document provided by Rabobank’s counsel, ML01396714.</w:t>
      </w:r>
    </w:p>
  </w:footnote>
  <w:footnote w:id="36">
    <w:p w:rsidR="00AA6616" w:rsidRPr="00221BA6" w:rsidRDefault="00AA6616" w:rsidP="00643266">
      <w:pPr>
        <w:pStyle w:val="FootnoteText"/>
        <w:rPr>
          <w:sz w:val="16"/>
          <w:szCs w:val="16"/>
        </w:rPr>
      </w:pPr>
      <w:r w:rsidRPr="00221BA6">
        <w:rPr>
          <w:rStyle w:val="FootnoteReference"/>
          <w:sz w:val="16"/>
          <w:szCs w:val="16"/>
        </w:rPr>
        <w:footnoteRef/>
      </w:r>
      <w:r w:rsidRPr="00221BA6">
        <w:rPr>
          <w:sz w:val="16"/>
          <w:szCs w:val="16"/>
        </w:rPr>
        <w:t xml:space="preserve"> Document provided by Rabobank’s counsel, ML01396692.</w:t>
      </w:r>
    </w:p>
  </w:footnote>
  <w:footnote w:id="37">
    <w:p w:rsidR="00AA6616" w:rsidRPr="00221BA6" w:rsidRDefault="00AA6616" w:rsidP="00643266">
      <w:pPr>
        <w:pStyle w:val="FootnoteText"/>
        <w:rPr>
          <w:sz w:val="16"/>
          <w:szCs w:val="16"/>
        </w:rPr>
      </w:pPr>
      <w:r w:rsidRPr="00221BA6">
        <w:rPr>
          <w:rStyle w:val="FootnoteReference"/>
          <w:sz w:val="16"/>
          <w:szCs w:val="16"/>
        </w:rPr>
        <w:footnoteRef/>
      </w:r>
      <w:r w:rsidRPr="00221BA6">
        <w:rPr>
          <w:sz w:val="16"/>
          <w:szCs w:val="16"/>
        </w:rPr>
        <w:t xml:space="preserve"> Document provided by Rabobank’s counsel, ML01486349.</w:t>
      </w:r>
    </w:p>
  </w:footnote>
  <w:footnote w:id="38">
    <w:p w:rsidR="00AA6616" w:rsidRPr="00221BA6" w:rsidRDefault="00AA6616" w:rsidP="00643266">
      <w:pPr>
        <w:pStyle w:val="FootnoteText"/>
        <w:rPr>
          <w:sz w:val="16"/>
          <w:szCs w:val="16"/>
        </w:rPr>
      </w:pPr>
      <w:r w:rsidRPr="00221BA6">
        <w:rPr>
          <w:rStyle w:val="FootnoteReference"/>
          <w:sz w:val="16"/>
          <w:szCs w:val="16"/>
        </w:rPr>
        <w:footnoteRef/>
      </w:r>
      <w:r w:rsidRPr="00221BA6">
        <w:rPr>
          <w:sz w:val="16"/>
          <w:szCs w:val="16"/>
        </w:rPr>
        <w:t xml:space="preserve"> SEC Release No. 21592 (July 15, 2010).</w:t>
      </w:r>
    </w:p>
  </w:footnote>
  <w:footnote w:id="39">
    <w:p w:rsidR="00AA6616" w:rsidRPr="00221BA6" w:rsidRDefault="00AA6616" w:rsidP="00643266">
      <w:pPr>
        <w:pStyle w:val="FootnoteText"/>
        <w:rPr>
          <w:sz w:val="16"/>
          <w:szCs w:val="16"/>
        </w:rPr>
      </w:pPr>
      <w:r w:rsidRPr="00221BA6">
        <w:rPr>
          <w:rStyle w:val="FootnoteReference"/>
          <w:sz w:val="16"/>
          <w:szCs w:val="16"/>
        </w:rPr>
        <w:footnoteRef/>
      </w:r>
      <w:r w:rsidRPr="00221BA6">
        <w:rPr>
          <w:sz w:val="16"/>
          <w:szCs w:val="16"/>
        </w:rPr>
        <w:t xml:space="preserve"> Cooperatieve Centrale Raiffeisen-Boerenleenbank, B.A. v. Merrill Lynch &amp; Co., Case No. 09601832 (New York Supreme Court), Complaint at ¶4. </w:t>
      </w:r>
    </w:p>
  </w:footnote>
  <w:footnote w:id="40">
    <w:p w:rsidR="00AA6616" w:rsidRPr="00221BA6" w:rsidRDefault="00AA6616" w:rsidP="00643266">
      <w:pPr>
        <w:pStyle w:val="FootnoteText"/>
        <w:rPr>
          <w:sz w:val="16"/>
          <w:szCs w:val="16"/>
        </w:rPr>
      </w:pPr>
      <w:r w:rsidRPr="00221BA6">
        <w:rPr>
          <w:rStyle w:val="FootnoteReference"/>
          <w:sz w:val="16"/>
          <w:szCs w:val="16"/>
        </w:rPr>
        <w:footnoteRef/>
      </w:r>
      <w:r w:rsidRPr="00221BA6">
        <w:rPr>
          <w:sz w:val="16"/>
          <w:szCs w:val="16"/>
        </w:rPr>
        <w:t xml:space="preserve"> Centrale Raiffeisen-Boerenleenbank, B.A. v. Merrill Lynch &amp; Co., Index No. 601832/09 (August 6, 2010).</w:t>
      </w:r>
    </w:p>
  </w:footnote>
  <w:footnote w:id="41">
    <w:p w:rsidR="00AA6616" w:rsidRPr="00221BA6" w:rsidRDefault="00AA6616" w:rsidP="00643266">
      <w:pPr>
        <w:pStyle w:val="FootnoteText"/>
        <w:rPr>
          <w:sz w:val="16"/>
          <w:szCs w:val="16"/>
        </w:rPr>
      </w:pPr>
      <w:r w:rsidRPr="00221BA6">
        <w:rPr>
          <w:rStyle w:val="FootnoteReference"/>
          <w:sz w:val="16"/>
          <w:szCs w:val="16"/>
        </w:rPr>
        <w:footnoteRef/>
      </w:r>
      <w:r w:rsidRPr="00221BA6">
        <w:rPr>
          <w:sz w:val="16"/>
          <w:szCs w:val="16"/>
        </w:rPr>
        <w:t xml:space="preserve"> BAC-ML-CDO-000079743 (listing of Norma cash note purchasers) and 79752 (listing of collateral managers). </w:t>
      </w:r>
    </w:p>
  </w:footnote>
  <w:footnote w:id="42">
    <w:p w:rsidR="00AA6616" w:rsidRPr="00BC7337" w:rsidRDefault="00AA6616" w:rsidP="00643266">
      <w:pPr>
        <w:pStyle w:val="FootnoteText"/>
        <w:rPr>
          <w:sz w:val="16"/>
          <w:szCs w:val="16"/>
        </w:rPr>
      </w:pPr>
      <w:r w:rsidRPr="00BC7337">
        <w:rPr>
          <w:rStyle w:val="FootnoteReference"/>
          <w:sz w:val="16"/>
          <w:szCs w:val="16"/>
        </w:rPr>
        <w:footnoteRef/>
      </w:r>
      <w:r w:rsidRPr="00BC7337">
        <w:rPr>
          <w:sz w:val="16"/>
          <w:szCs w:val="16"/>
        </w:rPr>
        <w:t xml:space="preserve"> BAC-ML-CDO-000076862-884, at 869-870. </w:t>
      </w:r>
    </w:p>
  </w:footnote>
  <w:footnote w:id="43">
    <w:p w:rsidR="00AA6616" w:rsidRPr="00BC7337" w:rsidRDefault="00AA6616" w:rsidP="00643266">
      <w:pPr>
        <w:pStyle w:val="FootnoteText"/>
        <w:rPr>
          <w:sz w:val="16"/>
          <w:szCs w:val="16"/>
        </w:rPr>
      </w:pPr>
      <w:r w:rsidRPr="00BC7337">
        <w:rPr>
          <w:rStyle w:val="FootnoteReference"/>
          <w:sz w:val="16"/>
          <w:szCs w:val="16"/>
        </w:rPr>
        <w:footnoteRef/>
      </w:r>
      <w:r w:rsidRPr="00BC7337">
        <w:rPr>
          <w:sz w:val="16"/>
          <w:szCs w:val="16"/>
        </w:rPr>
        <w:t xml:space="preserve"> SEC Complaint against ICP Asset Management, LLC, ICP Securities, LLC, Institutional Credit Partners, LLC and Thomas C. Priore, filed June 21, 2010</w:t>
      </w:r>
      <w:r>
        <w:rPr>
          <w:sz w:val="16"/>
          <w:szCs w:val="16"/>
        </w:rPr>
        <w:t>.</w:t>
      </w:r>
    </w:p>
  </w:footnote>
  <w:footnote w:id="44">
    <w:p w:rsidR="00AA6616" w:rsidRPr="00BC7337" w:rsidRDefault="00AA6616" w:rsidP="00643266">
      <w:pPr>
        <w:pStyle w:val="FootnoteText"/>
        <w:rPr>
          <w:sz w:val="16"/>
          <w:szCs w:val="16"/>
        </w:rPr>
      </w:pPr>
      <w:r w:rsidRPr="00BC7337">
        <w:rPr>
          <w:rStyle w:val="FootnoteReference"/>
          <w:sz w:val="16"/>
          <w:szCs w:val="16"/>
        </w:rPr>
        <w:footnoteRef/>
      </w:r>
      <w:r w:rsidRPr="00BC7337">
        <w:rPr>
          <w:sz w:val="16"/>
          <w:szCs w:val="16"/>
        </w:rPr>
        <w:t xml:space="preserve"> SEC Complaint against ICP Asset Management, LLC, ICP Securities, LLC, Institutional Credit Partners, LLC and Thomas C. Priore, filed June 21, 2010,  pg 3.</w:t>
      </w:r>
    </w:p>
  </w:footnote>
  <w:footnote w:id="45">
    <w:p w:rsidR="00AA6616" w:rsidRPr="00BC7337" w:rsidRDefault="00AA6616" w:rsidP="00643266">
      <w:pPr>
        <w:pStyle w:val="FootnoteText"/>
        <w:rPr>
          <w:sz w:val="16"/>
          <w:szCs w:val="16"/>
        </w:rPr>
      </w:pPr>
      <w:r w:rsidRPr="00BC7337">
        <w:rPr>
          <w:rStyle w:val="FootnoteReference"/>
          <w:sz w:val="16"/>
          <w:szCs w:val="16"/>
        </w:rPr>
        <w:footnoteRef/>
      </w:r>
      <w:r w:rsidRPr="00BC7337">
        <w:rPr>
          <w:sz w:val="16"/>
          <w:szCs w:val="16"/>
        </w:rPr>
        <w:t xml:space="preserve"> Press Release, SEC Charges N.Y.-Based Investment Adviser With Fraudulent Management of CDOs Tied to Mortgage-Backed Securities, June 21, 2010, p 2.</w:t>
      </w:r>
    </w:p>
  </w:footnote>
  <w:footnote w:id="46">
    <w:p w:rsidR="00AA6616" w:rsidRPr="00907AC3" w:rsidRDefault="00AA6616" w:rsidP="00736BC1">
      <w:pPr>
        <w:pStyle w:val="FootnoteText"/>
        <w:rPr>
          <w:sz w:val="16"/>
          <w:szCs w:val="16"/>
        </w:rPr>
      </w:pPr>
      <w:r w:rsidRPr="00427BD6">
        <w:rPr>
          <w:rStyle w:val="FootnoteReference"/>
          <w:sz w:val="16"/>
          <w:szCs w:val="16"/>
        </w:rPr>
        <w:footnoteRef/>
      </w:r>
      <w:r w:rsidRPr="00427BD6">
        <w:rPr>
          <w:sz w:val="16"/>
          <w:szCs w:val="16"/>
        </w:rPr>
        <w:t xml:space="preserve"> 2004 Form 10-K at 35</w:t>
      </w:r>
    </w:p>
  </w:footnote>
  <w:footnote w:id="47">
    <w:p w:rsidR="00AA6616" w:rsidRPr="00907AC3" w:rsidRDefault="00AA6616" w:rsidP="00736BC1">
      <w:pPr>
        <w:pStyle w:val="FootnoteText"/>
        <w:rPr>
          <w:sz w:val="16"/>
          <w:szCs w:val="16"/>
        </w:rPr>
      </w:pPr>
      <w:r w:rsidRPr="00427BD6">
        <w:rPr>
          <w:rStyle w:val="FootnoteReference"/>
          <w:sz w:val="16"/>
          <w:szCs w:val="16"/>
        </w:rPr>
        <w:footnoteRef/>
      </w:r>
      <w:r w:rsidRPr="00427BD6">
        <w:rPr>
          <w:sz w:val="16"/>
          <w:szCs w:val="16"/>
        </w:rPr>
        <w:t xml:space="preserve"> 2004 Form 10-K at 40</w:t>
      </w:r>
    </w:p>
  </w:footnote>
  <w:footnote w:id="48">
    <w:p w:rsidR="00AA6616" w:rsidRPr="00907AC3" w:rsidRDefault="00AA6616" w:rsidP="00736BC1">
      <w:pPr>
        <w:pStyle w:val="FootnoteText"/>
        <w:rPr>
          <w:sz w:val="16"/>
          <w:szCs w:val="16"/>
        </w:rPr>
      </w:pPr>
      <w:r w:rsidRPr="00427BD6">
        <w:rPr>
          <w:rStyle w:val="FootnoteReference"/>
          <w:sz w:val="16"/>
          <w:szCs w:val="16"/>
        </w:rPr>
        <w:footnoteRef/>
      </w:r>
      <w:r w:rsidRPr="00427BD6">
        <w:rPr>
          <w:sz w:val="16"/>
          <w:szCs w:val="16"/>
        </w:rPr>
        <w:t xml:space="preserve"> 2005 Form 10-K at 122, emphasis added.</w:t>
      </w:r>
    </w:p>
  </w:footnote>
  <w:footnote w:id="49">
    <w:p w:rsidR="00AA6616" w:rsidRPr="001B212F" w:rsidRDefault="00AA6616" w:rsidP="00736BC1">
      <w:pPr>
        <w:pStyle w:val="FootnoteText"/>
      </w:pPr>
      <w:r w:rsidRPr="00427BD6">
        <w:rPr>
          <w:rStyle w:val="FootnoteReference"/>
          <w:sz w:val="16"/>
          <w:szCs w:val="16"/>
        </w:rPr>
        <w:footnoteRef/>
      </w:r>
      <w:r w:rsidRPr="00427BD6">
        <w:rPr>
          <w:sz w:val="16"/>
          <w:szCs w:val="16"/>
        </w:rPr>
        <w:t xml:space="preserve"> 2005 Form 10-K at 122</w:t>
      </w:r>
    </w:p>
  </w:footnote>
  <w:footnote w:id="50">
    <w:p w:rsidR="00AA6616" w:rsidRPr="001B212F" w:rsidRDefault="00AA6616" w:rsidP="00736BC1">
      <w:pPr>
        <w:pStyle w:val="FootnoteText"/>
        <w:rPr>
          <w:sz w:val="16"/>
          <w:szCs w:val="16"/>
        </w:rPr>
      </w:pPr>
      <w:r w:rsidRPr="001B212F">
        <w:rPr>
          <w:rStyle w:val="FootnoteReference"/>
          <w:sz w:val="16"/>
          <w:szCs w:val="16"/>
        </w:rPr>
        <w:footnoteRef/>
      </w:r>
      <w:r w:rsidRPr="001B212F">
        <w:rPr>
          <w:sz w:val="16"/>
          <w:szCs w:val="16"/>
        </w:rPr>
        <w:t xml:space="preserve"> Pg 129 and 155, Fannie Mae 2007 Form 10K, emphasis added.</w:t>
      </w:r>
    </w:p>
  </w:footnote>
  <w:footnote w:id="51">
    <w:p w:rsidR="00AA6616" w:rsidRPr="001B212F" w:rsidRDefault="00AA6616" w:rsidP="00736BC1">
      <w:pPr>
        <w:pStyle w:val="FootnoteText"/>
        <w:rPr>
          <w:sz w:val="16"/>
          <w:szCs w:val="16"/>
        </w:rPr>
      </w:pPr>
      <w:r w:rsidRPr="001B212F">
        <w:rPr>
          <w:rStyle w:val="FootnoteReference"/>
          <w:sz w:val="16"/>
          <w:szCs w:val="16"/>
        </w:rPr>
        <w:footnoteRef/>
      </w:r>
      <w:r w:rsidRPr="001B212F">
        <w:rPr>
          <w:sz w:val="16"/>
          <w:szCs w:val="16"/>
        </w:rPr>
        <w:t xml:space="preserve"> Pg 129, Fannie Mae 2007 Form 10K, emphasis added.</w:t>
      </w:r>
    </w:p>
  </w:footnote>
  <w:footnote w:id="52">
    <w:p w:rsidR="00AA6616" w:rsidRPr="001B212F" w:rsidRDefault="00AA6616" w:rsidP="00736BC1">
      <w:pPr>
        <w:pStyle w:val="FootnoteText"/>
      </w:pPr>
      <w:r w:rsidRPr="001B212F">
        <w:rPr>
          <w:rStyle w:val="FootnoteReference"/>
        </w:rPr>
        <w:footnoteRef/>
      </w:r>
      <w:r w:rsidRPr="001B212F">
        <w:t xml:space="preserve"> </w:t>
      </w:r>
      <w:r w:rsidRPr="001B212F">
        <w:rPr>
          <w:sz w:val="16"/>
          <w:szCs w:val="16"/>
        </w:rPr>
        <w:t>Pg 130, Fannie Mae 2007 Form 10K, emphasis added.</w:t>
      </w:r>
      <w:r w:rsidRPr="001B212F">
        <w:t xml:space="preserve"> </w:t>
      </w:r>
    </w:p>
  </w:footnote>
  <w:footnote w:id="53">
    <w:p w:rsidR="00AA6616" w:rsidRPr="001B212F" w:rsidRDefault="00AA6616" w:rsidP="00736BC1">
      <w:pPr>
        <w:pStyle w:val="FootnoteText"/>
        <w:rPr>
          <w:sz w:val="16"/>
          <w:szCs w:val="16"/>
        </w:rPr>
      </w:pPr>
      <w:r w:rsidRPr="001B212F">
        <w:rPr>
          <w:rStyle w:val="FootnoteReference"/>
          <w:sz w:val="16"/>
          <w:szCs w:val="16"/>
        </w:rPr>
        <w:footnoteRef/>
      </w:r>
      <w:r w:rsidRPr="001B212F">
        <w:rPr>
          <w:sz w:val="16"/>
          <w:szCs w:val="16"/>
        </w:rPr>
        <w:t xml:space="preserve"> Pg 93 and 130, Fannie Mae 2007 Form 10-K</w:t>
      </w:r>
    </w:p>
  </w:footnote>
  <w:footnote w:id="54">
    <w:p w:rsidR="00AA6616" w:rsidRPr="001B212F" w:rsidRDefault="00AA6616" w:rsidP="00736BC1">
      <w:pPr>
        <w:pStyle w:val="FootnoteText"/>
      </w:pPr>
      <w:r w:rsidRPr="001B212F">
        <w:rPr>
          <w:rStyle w:val="FootnoteReference"/>
        </w:rPr>
        <w:footnoteRef/>
      </w:r>
      <w:r w:rsidRPr="001B212F">
        <w:t xml:space="preserve"> 2007 Form 10-K at 126-130. </w:t>
      </w:r>
    </w:p>
  </w:footnote>
  <w:footnote w:id="55">
    <w:p w:rsidR="00AA6616" w:rsidRPr="001B212F" w:rsidRDefault="00AA6616" w:rsidP="00736BC1">
      <w:pPr>
        <w:pStyle w:val="FootnoteText"/>
      </w:pPr>
      <w:r w:rsidRPr="001B212F">
        <w:rPr>
          <w:rStyle w:val="FootnoteReference"/>
        </w:rPr>
        <w:footnoteRef/>
      </w:r>
      <w:r w:rsidRPr="001B212F">
        <w:t xml:space="preserve"> 2007 Form 10-K at 127. </w:t>
      </w:r>
    </w:p>
  </w:footnote>
  <w:footnote w:id="56">
    <w:p w:rsidR="00AA6616" w:rsidRPr="001B212F" w:rsidRDefault="00AA6616" w:rsidP="00736BC1">
      <w:pPr>
        <w:pStyle w:val="FootnoteText"/>
      </w:pPr>
      <w:r w:rsidRPr="001B212F">
        <w:rPr>
          <w:rStyle w:val="FootnoteReference"/>
        </w:rPr>
        <w:footnoteRef/>
      </w:r>
      <w:r w:rsidRPr="001B212F">
        <w:t xml:space="preserve"> 2007 Form 10-K at 129. </w:t>
      </w:r>
    </w:p>
  </w:footnote>
  <w:footnote w:id="57">
    <w:p w:rsidR="00AA6616" w:rsidRPr="001B212F" w:rsidRDefault="00AA6616" w:rsidP="00736BC1">
      <w:pPr>
        <w:pStyle w:val="FootnoteText"/>
      </w:pPr>
      <w:r w:rsidRPr="001B212F">
        <w:rPr>
          <w:rStyle w:val="FootnoteReference"/>
        </w:rPr>
        <w:footnoteRef/>
      </w:r>
      <w:r w:rsidRPr="001B212F">
        <w:t xml:space="preserve"> 2007 Form 10-K at 126.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16" w:rsidRDefault="00AA66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16" w:rsidRDefault="00AA66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16" w:rsidRDefault="00AA6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A9"/>
    <w:multiLevelType w:val="hybridMultilevel"/>
    <w:tmpl w:val="5BFA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14120E"/>
    <w:multiLevelType w:val="hybridMultilevel"/>
    <w:tmpl w:val="97C26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F12FD"/>
    <w:multiLevelType w:val="hybridMultilevel"/>
    <w:tmpl w:val="CD42DC96"/>
    <w:lvl w:ilvl="0" w:tplc="52E2FF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CA410C4"/>
    <w:multiLevelType w:val="hybridMultilevel"/>
    <w:tmpl w:val="712E4E16"/>
    <w:lvl w:ilvl="0" w:tplc="FE48B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70664B"/>
    <w:multiLevelType w:val="hybridMultilevel"/>
    <w:tmpl w:val="1E0C15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0456453"/>
    <w:multiLevelType w:val="hybridMultilevel"/>
    <w:tmpl w:val="26502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C73B4"/>
    <w:multiLevelType w:val="hybridMultilevel"/>
    <w:tmpl w:val="8F6498CC"/>
    <w:lvl w:ilvl="0" w:tplc="0409000F">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F53A68"/>
    <w:multiLevelType w:val="hybridMultilevel"/>
    <w:tmpl w:val="BBBA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4250E"/>
    <w:multiLevelType w:val="hybridMultilevel"/>
    <w:tmpl w:val="BDE0B91A"/>
    <w:lvl w:ilvl="0" w:tplc="8AD8F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611DD3"/>
    <w:multiLevelType w:val="hybridMultilevel"/>
    <w:tmpl w:val="79B48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22205"/>
    <w:multiLevelType w:val="hybridMultilevel"/>
    <w:tmpl w:val="19D0A240"/>
    <w:lvl w:ilvl="0" w:tplc="49083A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8E13857"/>
    <w:multiLevelType w:val="hybridMultilevel"/>
    <w:tmpl w:val="5DA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E4ADF"/>
    <w:multiLevelType w:val="hybridMultilevel"/>
    <w:tmpl w:val="3FCE4DBC"/>
    <w:lvl w:ilvl="0" w:tplc="E35E0F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CA0540D"/>
    <w:multiLevelType w:val="hybridMultilevel"/>
    <w:tmpl w:val="017C52F6"/>
    <w:lvl w:ilvl="0" w:tplc="28385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31568F"/>
    <w:multiLevelType w:val="hybridMultilevel"/>
    <w:tmpl w:val="9B1CF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453AF"/>
    <w:multiLevelType w:val="hybridMultilevel"/>
    <w:tmpl w:val="E6A25FF0"/>
    <w:lvl w:ilvl="0" w:tplc="23CA7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687820"/>
    <w:multiLevelType w:val="hybridMultilevel"/>
    <w:tmpl w:val="AE1873EA"/>
    <w:lvl w:ilvl="0" w:tplc="E6862DB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3615135"/>
    <w:multiLevelType w:val="hybridMultilevel"/>
    <w:tmpl w:val="741A6984"/>
    <w:lvl w:ilvl="0" w:tplc="77C437E0">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F6341"/>
    <w:multiLevelType w:val="multilevel"/>
    <w:tmpl w:val="04BC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B039AE"/>
    <w:multiLevelType w:val="hybridMultilevel"/>
    <w:tmpl w:val="FB06C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EB13B6"/>
    <w:multiLevelType w:val="hybridMultilevel"/>
    <w:tmpl w:val="46A8F40E"/>
    <w:lvl w:ilvl="0" w:tplc="354ABC60">
      <w:start w:val="1"/>
      <w:numFmt w:val="decimal"/>
      <w:lvlText w:val="%1)"/>
      <w:lvlJc w:val="left"/>
      <w:pPr>
        <w:ind w:left="900" w:hanging="360"/>
      </w:pPr>
      <w:rPr>
        <w:rFonts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FA97A9D"/>
    <w:multiLevelType w:val="hybridMultilevel"/>
    <w:tmpl w:val="53205F50"/>
    <w:lvl w:ilvl="0" w:tplc="D668CBB8">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76906"/>
    <w:multiLevelType w:val="hybridMultilevel"/>
    <w:tmpl w:val="B60A3BB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3">
    <w:nsid w:val="422714F5"/>
    <w:multiLevelType w:val="hybridMultilevel"/>
    <w:tmpl w:val="17F465E8"/>
    <w:lvl w:ilvl="0" w:tplc="05A02966">
      <w:start w:val="1"/>
      <w:numFmt w:val="upperRoman"/>
      <w:lvlText w:val="%1."/>
      <w:lvlJc w:val="righ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D21EF"/>
    <w:multiLevelType w:val="hybridMultilevel"/>
    <w:tmpl w:val="BD4453C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973074"/>
    <w:multiLevelType w:val="hybridMultilevel"/>
    <w:tmpl w:val="38AE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080C7E"/>
    <w:multiLevelType w:val="hybridMultilevel"/>
    <w:tmpl w:val="D17862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85A5ADC"/>
    <w:multiLevelType w:val="hybridMultilevel"/>
    <w:tmpl w:val="30DE006C"/>
    <w:lvl w:ilvl="0" w:tplc="709C85EC">
      <w:start w:val="1"/>
      <w:numFmt w:val="decimal"/>
      <w:lvlText w:val="%1)"/>
      <w:lvlJc w:val="left"/>
      <w:pPr>
        <w:ind w:left="630" w:hanging="360"/>
      </w:pPr>
      <w:rPr>
        <w:rFonts w:ascii="Times New Roman" w:eastAsia="Calibr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C6A4F1E"/>
    <w:multiLevelType w:val="hybridMultilevel"/>
    <w:tmpl w:val="9252C56A"/>
    <w:lvl w:ilvl="0" w:tplc="15247C46">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nsid w:val="513E7679"/>
    <w:multiLevelType w:val="hybridMultilevel"/>
    <w:tmpl w:val="0A768CBE"/>
    <w:lvl w:ilvl="0" w:tplc="1FB829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FA53E2"/>
    <w:multiLevelType w:val="hybridMultilevel"/>
    <w:tmpl w:val="62142C70"/>
    <w:lvl w:ilvl="0" w:tplc="1D7A1E76">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81A30CF"/>
    <w:multiLevelType w:val="hybridMultilevel"/>
    <w:tmpl w:val="D36C8F28"/>
    <w:lvl w:ilvl="0" w:tplc="BE16CA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AB515C5"/>
    <w:multiLevelType w:val="hybridMultilevel"/>
    <w:tmpl w:val="7C982F12"/>
    <w:lvl w:ilvl="0" w:tplc="D2686EE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DE600EE"/>
    <w:multiLevelType w:val="hybridMultilevel"/>
    <w:tmpl w:val="8C16B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323AF"/>
    <w:multiLevelType w:val="hybridMultilevel"/>
    <w:tmpl w:val="47389888"/>
    <w:lvl w:ilvl="0" w:tplc="84E274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22A35E0"/>
    <w:multiLevelType w:val="hybridMultilevel"/>
    <w:tmpl w:val="2B0AA9E6"/>
    <w:lvl w:ilvl="0" w:tplc="36EED284">
      <w:start w:val="4"/>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A3C3E"/>
    <w:multiLevelType w:val="hybridMultilevel"/>
    <w:tmpl w:val="8CE80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A3257A"/>
    <w:multiLevelType w:val="hybridMultilevel"/>
    <w:tmpl w:val="264A4746"/>
    <w:lvl w:ilvl="0" w:tplc="1CD22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D96D5F"/>
    <w:multiLevelType w:val="hybridMultilevel"/>
    <w:tmpl w:val="DF766674"/>
    <w:lvl w:ilvl="0" w:tplc="0409000F">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A9E75AE"/>
    <w:multiLevelType w:val="hybridMultilevel"/>
    <w:tmpl w:val="E898A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8D7715"/>
    <w:multiLevelType w:val="hybridMultilevel"/>
    <w:tmpl w:val="7B3AFAFE"/>
    <w:lvl w:ilvl="0" w:tplc="8F8C5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391531F"/>
    <w:multiLevelType w:val="multilevel"/>
    <w:tmpl w:val="F564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187444"/>
    <w:multiLevelType w:val="hybridMultilevel"/>
    <w:tmpl w:val="9A4CD7AC"/>
    <w:lvl w:ilvl="0" w:tplc="B4AA882C">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C2E3C1F"/>
    <w:multiLevelType w:val="hybridMultilevel"/>
    <w:tmpl w:val="1C461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E2E2B"/>
    <w:multiLevelType w:val="hybridMultilevel"/>
    <w:tmpl w:val="2B606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A11C5"/>
    <w:multiLevelType w:val="hybridMultilevel"/>
    <w:tmpl w:val="0242E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EE3348"/>
    <w:multiLevelType w:val="hybridMultilevel"/>
    <w:tmpl w:val="2CE2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35"/>
  </w:num>
  <w:num w:numId="4">
    <w:abstractNumId w:val="38"/>
  </w:num>
  <w:num w:numId="5">
    <w:abstractNumId w:val="36"/>
  </w:num>
  <w:num w:numId="6">
    <w:abstractNumId w:val="17"/>
  </w:num>
  <w:num w:numId="7">
    <w:abstractNumId w:val="24"/>
  </w:num>
  <w:num w:numId="8">
    <w:abstractNumId w:val="39"/>
  </w:num>
  <w:num w:numId="9">
    <w:abstractNumId w:val="28"/>
  </w:num>
  <w:num w:numId="10">
    <w:abstractNumId w:val="31"/>
  </w:num>
  <w:num w:numId="11">
    <w:abstractNumId w:val="21"/>
  </w:num>
  <w:num w:numId="12">
    <w:abstractNumId w:val="14"/>
  </w:num>
  <w:num w:numId="13">
    <w:abstractNumId w:val="43"/>
  </w:num>
  <w:num w:numId="14">
    <w:abstractNumId w:val="27"/>
  </w:num>
  <w:num w:numId="15">
    <w:abstractNumId w:val="20"/>
  </w:num>
  <w:num w:numId="16">
    <w:abstractNumId w:val="22"/>
  </w:num>
  <w:num w:numId="17">
    <w:abstractNumId w:val="4"/>
  </w:num>
  <w:num w:numId="18">
    <w:abstractNumId w:val="2"/>
  </w:num>
  <w:num w:numId="19">
    <w:abstractNumId w:val="37"/>
  </w:num>
  <w:num w:numId="20">
    <w:abstractNumId w:val="3"/>
  </w:num>
  <w:num w:numId="21">
    <w:abstractNumId w:val="45"/>
  </w:num>
  <w:num w:numId="22">
    <w:abstractNumId w:val="18"/>
  </w:num>
  <w:num w:numId="23">
    <w:abstractNumId w:val="29"/>
  </w:num>
  <w:num w:numId="24">
    <w:abstractNumId w:val="32"/>
  </w:num>
  <w:num w:numId="25">
    <w:abstractNumId w:val="10"/>
  </w:num>
  <w:num w:numId="26">
    <w:abstractNumId w:val="16"/>
  </w:num>
  <w:num w:numId="27">
    <w:abstractNumId w:val="15"/>
  </w:num>
  <w:num w:numId="28">
    <w:abstractNumId w:val="42"/>
  </w:num>
  <w:num w:numId="29">
    <w:abstractNumId w:val="41"/>
  </w:num>
  <w:num w:numId="30">
    <w:abstractNumId w:val="11"/>
  </w:num>
  <w:num w:numId="31">
    <w:abstractNumId w:val="25"/>
  </w:num>
  <w:num w:numId="32">
    <w:abstractNumId w:val="5"/>
  </w:num>
  <w:num w:numId="33">
    <w:abstractNumId w:val="34"/>
  </w:num>
  <w:num w:numId="34">
    <w:abstractNumId w:val="40"/>
  </w:num>
  <w:num w:numId="35">
    <w:abstractNumId w:val="12"/>
  </w:num>
  <w:num w:numId="36">
    <w:abstractNumId w:val="23"/>
  </w:num>
  <w:num w:numId="37">
    <w:abstractNumId w:val="19"/>
  </w:num>
  <w:num w:numId="38">
    <w:abstractNumId w:val="26"/>
  </w:num>
  <w:num w:numId="39">
    <w:abstractNumId w:val="0"/>
  </w:num>
  <w:num w:numId="40">
    <w:abstractNumId w:val="1"/>
  </w:num>
  <w:num w:numId="41">
    <w:abstractNumId w:val="33"/>
  </w:num>
  <w:num w:numId="42">
    <w:abstractNumId w:val="46"/>
  </w:num>
  <w:num w:numId="43">
    <w:abstractNumId w:val="13"/>
  </w:num>
  <w:num w:numId="44">
    <w:abstractNumId w:val="8"/>
  </w:num>
  <w:num w:numId="45">
    <w:abstractNumId w:val="44"/>
  </w:num>
  <w:num w:numId="46">
    <w:abstractNumId w:val="7"/>
  </w:num>
  <w:num w:numId="47">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9938"/>
  </w:hdrShapeDefaults>
  <w:footnotePr>
    <w:footnote w:id="-1"/>
    <w:footnote w:id="0"/>
  </w:footnotePr>
  <w:endnotePr>
    <w:endnote w:id="-1"/>
    <w:endnote w:id="0"/>
  </w:endnotePr>
  <w:compat/>
  <w:docVars>
    <w:docVar w:name="dgnword-docGUID" w:val="{ABB3B074-07FA-4516-9624-ABF7E8529281}"/>
    <w:docVar w:name="dgnword-eventsink" w:val="96706792"/>
  </w:docVars>
  <w:rsids>
    <w:rsidRoot w:val="00556E5F"/>
    <w:rsid w:val="000001CC"/>
    <w:rsid w:val="000034B9"/>
    <w:rsid w:val="00007147"/>
    <w:rsid w:val="000118D1"/>
    <w:rsid w:val="00014A4F"/>
    <w:rsid w:val="00025D54"/>
    <w:rsid w:val="00032731"/>
    <w:rsid w:val="00045DF2"/>
    <w:rsid w:val="00054134"/>
    <w:rsid w:val="000552DF"/>
    <w:rsid w:val="000657AE"/>
    <w:rsid w:val="000704D1"/>
    <w:rsid w:val="000723DF"/>
    <w:rsid w:val="000744B0"/>
    <w:rsid w:val="00074907"/>
    <w:rsid w:val="0007575A"/>
    <w:rsid w:val="00075BEE"/>
    <w:rsid w:val="00076DC0"/>
    <w:rsid w:val="00084560"/>
    <w:rsid w:val="00094BE0"/>
    <w:rsid w:val="00096B7C"/>
    <w:rsid w:val="000A2CF5"/>
    <w:rsid w:val="000A5359"/>
    <w:rsid w:val="000A6A84"/>
    <w:rsid w:val="000B3717"/>
    <w:rsid w:val="000D0162"/>
    <w:rsid w:val="000D3C40"/>
    <w:rsid w:val="000E127A"/>
    <w:rsid w:val="000E3A10"/>
    <w:rsid w:val="000E5FD4"/>
    <w:rsid w:val="000F0672"/>
    <w:rsid w:val="000F35F4"/>
    <w:rsid w:val="00105661"/>
    <w:rsid w:val="00105E5A"/>
    <w:rsid w:val="001075A3"/>
    <w:rsid w:val="00114E82"/>
    <w:rsid w:val="00120B59"/>
    <w:rsid w:val="00124056"/>
    <w:rsid w:val="001320C2"/>
    <w:rsid w:val="001340A8"/>
    <w:rsid w:val="00135B07"/>
    <w:rsid w:val="00146816"/>
    <w:rsid w:val="00150BAA"/>
    <w:rsid w:val="00162296"/>
    <w:rsid w:val="0017751B"/>
    <w:rsid w:val="00186D0F"/>
    <w:rsid w:val="0019398E"/>
    <w:rsid w:val="001945E8"/>
    <w:rsid w:val="001A686C"/>
    <w:rsid w:val="001A7D75"/>
    <w:rsid w:val="001C1125"/>
    <w:rsid w:val="001C2140"/>
    <w:rsid w:val="001D1797"/>
    <w:rsid w:val="001D5D0B"/>
    <w:rsid w:val="001E2F10"/>
    <w:rsid w:val="001E4606"/>
    <w:rsid w:val="001F4267"/>
    <w:rsid w:val="001F5767"/>
    <w:rsid w:val="00223975"/>
    <w:rsid w:val="00230712"/>
    <w:rsid w:val="00233451"/>
    <w:rsid w:val="00233D4F"/>
    <w:rsid w:val="00236D49"/>
    <w:rsid w:val="00241A8C"/>
    <w:rsid w:val="002440EC"/>
    <w:rsid w:val="00245910"/>
    <w:rsid w:val="002573DD"/>
    <w:rsid w:val="00267925"/>
    <w:rsid w:val="00270B51"/>
    <w:rsid w:val="00277253"/>
    <w:rsid w:val="0029378C"/>
    <w:rsid w:val="00296B34"/>
    <w:rsid w:val="0029754F"/>
    <w:rsid w:val="002A3DBA"/>
    <w:rsid w:val="002A448C"/>
    <w:rsid w:val="002A50BD"/>
    <w:rsid w:val="002C1EC7"/>
    <w:rsid w:val="002C4D60"/>
    <w:rsid w:val="002D601F"/>
    <w:rsid w:val="002D793F"/>
    <w:rsid w:val="002E5965"/>
    <w:rsid w:val="002E64D6"/>
    <w:rsid w:val="002F1C21"/>
    <w:rsid w:val="002F31B9"/>
    <w:rsid w:val="002F5BC5"/>
    <w:rsid w:val="00303990"/>
    <w:rsid w:val="003157C5"/>
    <w:rsid w:val="0031749F"/>
    <w:rsid w:val="00320744"/>
    <w:rsid w:val="0032233C"/>
    <w:rsid w:val="00322423"/>
    <w:rsid w:val="003229C2"/>
    <w:rsid w:val="003410A2"/>
    <w:rsid w:val="00346989"/>
    <w:rsid w:val="00356515"/>
    <w:rsid w:val="0036218E"/>
    <w:rsid w:val="00366DE0"/>
    <w:rsid w:val="00367811"/>
    <w:rsid w:val="00367BD7"/>
    <w:rsid w:val="0037194B"/>
    <w:rsid w:val="00371AD1"/>
    <w:rsid w:val="003846BE"/>
    <w:rsid w:val="00386AC9"/>
    <w:rsid w:val="00390A00"/>
    <w:rsid w:val="00394666"/>
    <w:rsid w:val="00395C85"/>
    <w:rsid w:val="003A57FF"/>
    <w:rsid w:val="003B460B"/>
    <w:rsid w:val="003B59AD"/>
    <w:rsid w:val="003C3610"/>
    <w:rsid w:val="003C798D"/>
    <w:rsid w:val="003D19D1"/>
    <w:rsid w:val="003D53EF"/>
    <w:rsid w:val="003D7909"/>
    <w:rsid w:val="003F119F"/>
    <w:rsid w:val="003F66C0"/>
    <w:rsid w:val="003F7131"/>
    <w:rsid w:val="004006FE"/>
    <w:rsid w:val="004031E7"/>
    <w:rsid w:val="004101BD"/>
    <w:rsid w:val="0041151B"/>
    <w:rsid w:val="004136DA"/>
    <w:rsid w:val="00421B69"/>
    <w:rsid w:val="00422A32"/>
    <w:rsid w:val="004254BC"/>
    <w:rsid w:val="00426617"/>
    <w:rsid w:val="0044357A"/>
    <w:rsid w:val="004435AC"/>
    <w:rsid w:val="00443820"/>
    <w:rsid w:val="004559FB"/>
    <w:rsid w:val="0046657E"/>
    <w:rsid w:val="004773AC"/>
    <w:rsid w:val="00482C62"/>
    <w:rsid w:val="00490A76"/>
    <w:rsid w:val="004A785C"/>
    <w:rsid w:val="004B17B8"/>
    <w:rsid w:val="004B4073"/>
    <w:rsid w:val="004C5ED2"/>
    <w:rsid w:val="004D0986"/>
    <w:rsid w:val="004D0EA3"/>
    <w:rsid w:val="004D78D1"/>
    <w:rsid w:val="004F3D2A"/>
    <w:rsid w:val="004F43D4"/>
    <w:rsid w:val="004F71CF"/>
    <w:rsid w:val="00502807"/>
    <w:rsid w:val="00506581"/>
    <w:rsid w:val="005128E2"/>
    <w:rsid w:val="005166FB"/>
    <w:rsid w:val="005217AA"/>
    <w:rsid w:val="00521918"/>
    <w:rsid w:val="005224E2"/>
    <w:rsid w:val="00522CA3"/>
    <w:rsid w:val="00531F06"/>
    <w:rsid w:val="00532D3E"/>
    <w:rsid w:val="005358CA"/>
    <w:rsid w:val="00537F22"/>
    <w:rsid w:val="00556E5F"/>
    <w:rsid w:val="0056089A"/>
    <w:rsid w:val="00566601"/>
    <w:rsid w:val="00566D1E"/>
    <w:rsid w:val="005674AA"/>
    <w:rsid w:val="005704AF"/>
    <w:rsid w:val="00570CA5"/>
    <w:rsid w:val="0057334D"/>
    <w:rsid w:val="00573BF8"/>
    <w:rsid w:val="0058749E"/>
    <w:rsid w:val="005902CC"/>
    <w:rsid w:val="00596061"/>
    <w:rsid w:val="005965CA"/>
    <w:rsid w:val="005A0F03"/>
    <w:rsid w:val="005A203E"/>
    <w:rsid w:val="005A3C52"/>
    <w:rsid w:val="005A3E0D"/>
    <w:rsid w:val="005A5DAE"/>
    <w:rsid w:val="005B12C8"/>
    <w:rsid w:val="005C5884"/>
    <w:rsid w:val="005D2471"/>
    <w:rsid w:val="005D45C9"/>
    <w:rsid w:val="005D47B2"/>
    <w:rsid w:val="005D6455"/>
    <w:rsid w:val="005E0381"/>
    <w:rsid w:val="005F3096"/>
    <w:rsid w:val="005F4DAC"/>
    <w:rsid w:val="005F6C16"/>
    <w:rsid w:val="005F6DEB"/>
    <w:rsid w:val="005F799A"/>
    <w:rsid w:val="00602D09"/>
    <w:rsid w:val="00606FD3"/>
    <w:rsid w:val="00614889"/>
    <w:rsid w:val="006247F1"/>
    <w:rsid w:val="00643266"/>
    <w:rsid w:val="0065694D"/>
    <w:rsid w:val="00656998"/>
    <w:rsid w:val="00661BB3"/>
    <w:rsid w:val="00661D88"/>
    <w:rsid w:val="0066344F"/>
    <w:rsid w:val="00666318"/>
    <w:rsid w:val="0067013D"/>
    <w:rsid w:val="00674881"/>
    <w:rsid w:val="00676E67"/>
    <w:rsid w:val="00681022"/>
    <w:rsid w:val="00684132"/>
    <w:rsid w:val="0068423D"/>
    <w:rsid w:val="0068466A"/>
    <w:rsid w:val="0069322B"/>
    <w:rsid w:val="00693663"/>
    <w:rsid w:val="006961F5"/>
    <w:rsid w:val="006A0DE9"/>
    <w:rsid w:val="006A1723"/>
    <w:rsid w:val="006B0078"/>
    <w:rsid w:val="006B1EAD"/>
    <w:rsid w:val="006B4F97"/>
    <w:rsid w:val="006C4E66"/>
    <w:rsid w:val="006C7625"/>
    <w:rsid w:val="006D3E0A"/>
    <w:rsid w:val="006F3B65"/>
    <w:rsid w:val="006F3D88"/>
    <w:rsid w:val="0070023C"/>
    <w:rsid w:val="0071776F"/>
    <w:rsid w:val="00724DFB"/>
    <w:rsid w:val="007253BB"/>
    <w:rsid w:val="00730E41"/>
    <w:rsid w:val="00736BC1"/>
    <w:rsid w:val="0073784E"/>
    <w:rsid w:val="007471DA"/>
    <w:rsid w:val="00751FA3"/>
    <w:rsid w:val="00755FFA"/>
    <w:rsid w:val="007563C7"/>
    <w:rsid w:val="00757A06"/>
    <w:rsid w:val="00774A77"/>
    <w:rsid w:val="00780F81"/>
    <w:rsid w:val="007822B5"/>
    <w:rsid w:val="00782F52"/>
    <w:rsid w:val="00783711"/>
    <w:rsid w:val="00785F07"/>
    <w:rsid w:val="00787094"/>
    <w:rsid w:val="00792E49"/>
    <w:rsid w:val="007B0C6F"/>
    <w:rsid w:val="007B19E9"/>
    <w:rsid w:val="007C1636"/>
    <w:rsid w:val="007C3A68"/>
    <w:rsid w:val="007D1177"/>
    <w:rsid w:val="007D2DB2"/>
    <w:rsid w:val="007E0A02"/>
    <w:rsid w:val="007E1F99"/>
    <w:rsid w:val="007E2421"/>
    <w:rsid w:val="007E3163"/>
    <w:rsid w:val="007F14BB"/>
    <w:rsid w:val="00800B89"/>
    <w:rsid w:val="00802C13"/>
    <w:rsid w:val="00804660"/>
    <w:rsid w:val="008059EC"/>
    <w:rsid w:val="00811E4F"/>
    <w:rsid w:val="00822419"/>
    <w:rsid w:val="00823218"/>
    <w:rsid w:val="0083242D"/>
    <w:rsid w:val="00835D7A"/>
    <w:rsid w:val="008375BF"/>
    <w:rsid w:val="0084590D"/>
    <w:rsid w:val="00845A38"/>
    <w:rsid w:val="00864411"/>
    <w:rsid w:val="00867090"/>
    <w:rsid w:val="00874736"/>
    <w:rsid w:val="00876BC7"/>
    <w:rsid w:val="0088233D"/>
    <w:rsid w:val="00883514"/>
    <w:rsid w:val="00883FDE"/>
    <w:rsid w:val="00897738"/>
    <w:rsid w:val="008A32B1"/>
    <w:rsid w:val="008A369B"/>
    <w:rsid w:val="008A4AF4"/>
    <w:rsid w:val="008B000E"/>
    <w:rsid w:val="008B4D7F"/>
    <w:rsid w:val="008C055D"/>
    <w:rsid w:val="008C0BE3"/>
    <w:rsid w:val="008C4487"/>
    <w:rsid w:val="008C737C"/>
    <w:rsid w:val="008D1A2B"/>
    <w:rsid w:val="008D4797"/>
    <w:rsid w:val="008E4A5E"/>
    <w:rsid w:val="008F196D"/>
    <w:rsid w:val="008F4938"/>
    <w:rsid w:val="008F4946"/>
    <w:rsid w:val="008F5F6F"/>
    <w:rsid w:val="008F7B14"/>
    <w:rsid w:val="0090453B"/>
    <w:rsid w:val="009163EC"/>
    <w:rsid w:val="009233C6"/>
    <w:rsid w:val="0092563C"/>
    <w:rsid w:val="0092691F"/>
    <w:rsid w:val="00926CCB"/>
    <w:rsid w:val="00956A4A"/>
    <w:rsid w:val="0096397D"/>
    <w:rsid w:val="00967A95"/>
    <w:rsid w:val="00974CE9"/>
    <w:rsid w:val="00985522"/>
    <w:rsid w:val="009913B5"/>
    <w:rsid w:val="009A0DED"/>
    <w:rsid w:val="009A4EA1"/>
    <w:rsid w:val="009A616A"/>
    <w:rsid w:val="009A6A8C"/>
    <w:rsid w:val="009B5034"/>
    <w:rsid w:val="009C0476"/>
    <w:rsid w:val="009D166C"/>
    <w:rsid w:val="009D2AA9"/>
    <w:rsid w:val="009D3163"/>
    <w:rsid w:val="009D589A"/>
    <w:rsid w:val="009E6AEA"/>
    <w:rsid w:val="009E6C87"/>
    <w:rsid w:val="00A0056F"/>
    <w:rsid w:val="00A02F27"/>
    <w:rsid w:val="00A079CA"/>
    <w:rsid w:val="00A12635"/>
    <w:rsid w:val="00A14CF0"/>
    <w:rsid w:val="00A302A8"/>
    <w:rsid w:val="00A37DA3"/>
    <w:rsid w:val="00A47D1E"/>
    <w:rsid w:val="00A50E77"/>
    <w:rsid w:val="00A554EA"/>
    <w:rsid w:val="00A66496"/>
    <w:rsid w:val="00A77D8F"/>
    <w:rsid w:val="00A80E30"/>
    <w:rsid w:val="00A8230C"/>
    <w:rsid w:val="00A86CB9"/>
    <w:rsid w:val="00A95310"/>
    <w:rsid w:val="00AA525C"/>
    <w:rsid w:val="00AA6616"/>
    <w:rsid w:val="00AB0361"/>
    <w:rsid w:val="00AB5D0B"/>
    <w:rsid w:val="00AC78DC"/>
    <w:rsid w:val="00AC7B6E"/>
    <w:rsid w:val="00AD1C92"/>
    <w:rsid w:val="00AE09FA"/>
    <w:rsid w:val="00AE290E"/>
    <w:rsid w:val="00AE40C8"/>
    <w:rsid w:val="00AF34C5"/>
    <w:rsid w:val="00AF5300"/>
    <w:rsid w:val="00B00B2B"/>
    <w:rsid w:val="00B013DD"/>
    <w:rsid w:val="00B02513"/>
    <w:rsid w:val="00B06CB8"/>
    <w:rsid w:val="00B1406C"/>
    <w:rsid w:val="00B2349E"/>
    <w:rsid w:val="00B254E0"/>
    <w:rsid w:val="00B36C96"/>
    <w:rsid w:val="00B417DE"/>
    <w:rsid w:val="00B45758"/>
    <w:rsid w:val="00B45A36"/>
    <w:rsid w:val="00B55641"/>
    <w:rsid w:val="00B61938"/>
    <w:rsid w:val="00B64446"/>
    <w:rsid w:val="00B64641"/>
    <w:rsid w:val="00B67F4A"/>
    <w:rsid w:val="00B800CC"/>
    <w:rsid w:val="00B81A76"/>
    <w:rsid w:val="00B837EA"/>
    <w:rsid w:val="00B83D15"/>
    <w:rsid w:val="00B94EA8"/>
    <w:rsid w:val="00B9529E"/>
    <w:rsid w:val="00BA5B51"/>
    <w:rsid w:val="00BC2CA8"/>
    <w:rsid w:val="00BD08D9"/>
    <w:rsid w:val="00BD51F7"/>
    <w:rsid w:val="00BE0C20"/>
    <w:rsid w:val="00BE1DAF"/>
    <w:rsid w:val="00BE218E"/>
    <w:rsid w:val="00BF2EAA"/>
    <w:rsid w:val="00C04F2E"/>
    <w:rsid w:val="00C050D7"/>
    <w:rsid w:val="00C23706"/>
    <w:rsid w:val="00C255F6"/>
    <w:rsid w:val="00C27D0A"/>
    <w:rsid w:val="00C31775"/>
    <w:rsid w:val="00C32522"/>
    <w:rsid w:val="00C3527D"/>
    <w:rsid w:val="00C42A2B"/>
    <w:rsid w:val="00C42EF9"/>
    <w:rsid w:val="00C444E7"/>
    <w:rsid w:val="00C44DB5"/>
    <w:rsid w:val="00C658D2"/>
    <w:rsid w:val="00C6740D"/>
    <w:rsid w:val="00C77231"/>
    <w:rsid w:val="00C820DB"/>
    <w:rsid w:val="00C936E4"/>
    <w:rsid w:val="00C93A1D"/>
    <w:rsid w:val="00C9501F"/>
    <w:rsid w:val="00C95722"/>
    <w:rsid w:val="00C96171"/>
    <w:rsid w:val="00C9665D"/>
    <w:rsid w:val="00C96BA5"/>
    <w:rsid w:val="00CA165C"/>
    <w:rsid w:val="00CA71E7"/>
    <w:rsid w:val="00CB0BCE"/>
    <w:rsid w:val="00CC71C0"/>
    <w:rsid w:val="00CC7D43"/>
    <w:rsid w:val="00CE27E8"/>
    <w:rsid w:val="00CE3608"/>
    <w:rsid w:val="00CE6173"/>
    <w:rsid w:val="00D06CED"/>
    <w:rsid w:val="00D151D0"/>
    <w:rsid w:val="00D1535F"/>
    <w:rsid w:val="00D20346"/>
    <w:rsid w:val="00D22659"/>
    <w:rsid w:val="00D23445"/>
    <w:rsid w:val="00D41759"/>
    <w:rsid w:val="00D50903"/>
    <w:rsid w:val="00D52E5B"/>
    <w:rsid w:val="00D555D5"/>
    <w:rsid w:val="00D57116"/>
    <w:rsid w:val="00D63D7E"/>
    <w:rsid w:val="00D64BBD"/>
    <w:rsid w:val="00D72421"/>
    <w:rsid w:val="00D8570A"/>
    <w:rsid w:val="00D97E5D"/>
    <w:rsid w:val="00DA04B5"/>
    <w:rsid w:val="00DB01FF"/>
    <w:rsid w:val="00DB23C7"/>
    <w:rsid w:val="00DB49ED"/>
    <w:rsid w:val="00DD0B7A"/>
    <w:rsid w:val="00DD4A64"/>
    <w:rsid w:val="00E057FD"/>
    <w:rsid w:val="00E11DED"/>
    <w:rsid w:val="00E13DD1"/>
    <w:rsid w:val="00E25EE6"/>
    <w:rsid w:val="00E27A73"/>
    <w:rsid w:val="00E630F5"/>
    <w:rsid w:val="00E75F08"/>
    <w:rsid w:val="00E76EB4"/>
    <w:rsid w:val="00E93576"/>
    <w:rsid w:val="00EA1BA7"/>
    <w:rsid w:val="00EA434B"/>
    <w:rsid w:val="00EB02FA"/>
    <w:rsid w:val="00EB370F"/>
    <w:rsid w:val="00EB7319"/>
    <w:rsid w:val="00EC55B9"/>
    <w:rsid w:val="00ED29E8"/>
    <w:rsid w:val="00ED6AC9"/>
    <w:rsid w:val="00EE37A2"/>
    <w:rsid w:val="00EF044A"/>
    <w:rsid w:val="00EF12F9"/>
    <w:rsid w:val="00EF4C6B"/>
    <w:rsid w:val="00EF5702"/>
    <w:rsid w:val="00EF760F"/>
    <w:rsid w:val="00F00432"/>
    <w:rsid w:val="00F14D24"/>
    <w:rsid w:val="00F250CA"/>
    <w:rsid w:val="00F26005"/>
    <w:rsid w:val="00F276BB"/>
    <w:rsid w:val="00F302D0"/>
    <w:rsid w:val="00F450FF"/>
    <w:rsid w:val="00F622E7"/>
    <w:rsid w:val="00F6757C"/>
    <w:rsid w:val="00F73482"/>
    <w:rsid w:val="00F8463B"/>
    <w:rsid w:val="00F93B96"/>
    <w:rsid w:val="00FA34F5"/>
    <w:rsid w:val="00FC5337"/>
    <w:rsid w:val="00FD06D4"/>
    <w:rsid w:val="00FD1554"/>
    <w:rsid w:val="00FD19B7"/>
    <w:rsid w:val="00FE6198"/>
    <w:rsid w:val="00FE65B8"/>
    <w:rsid w:val="00FF2038"/>
    <w:rsid w:val="00FF2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3" type="connector" idref="#_x0000_s1028"/>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5F"/>
    <w:rPr>
      <w:rFonts w:eastAsia="Times New Roman"/>
      <w:sz w:val="24"/>
      <w:szCs w:val="24"/>
    </w:rPr>
  </w:style>
  <w:style w:type="paragraph" w:styleId="Heading1">
    <w:name w:val="heading 1"/>
    <w:basedOn w:val="Normal"/>
    <w:next w:val="Normal"/>
    <w:link w:val="Heading1Char"/>
    <w:uiPriority w:val="9"/>
    <w:qFormat/>
    <w:rsid w:val="00556E5F"/>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556E5F"/>
    <w:pPr>
      <w:spacing w:before="100" w:beforeAutospacing="1" w:after="100" w:afterAutospacing="1"/>
      <w:outlineLvl w:val="1"/>
    </w:pPr>
    <w:rPr>
      <w:b/>
      <w:bCs/>
      <w:color w:val="000000"/>
      <w:sz w:val="36"/>
      <w:szCs w:val="36"/>
    </w:rPr>
  </w:style>
  <w:style w:type="paragraph" w:styleId="Heading3">
    <w:name w:val="heading 3"/>
    <w:basedOn w:val="Normal"/>
    <w:next w:val="Normal"/>
    <w:link w:val="Heading3Char"/>
    <w:uiPriority w:val="9"/>
    <w:unhideWhenUsed/>
    <w:qFormat/>
    <w:rsid w:val="00114E8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14E8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E5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56E5F"/>
    <w:rPr>
      <w:rFonts w:eastAsia="Times New Roman"/>
      <w:b/>
      <w:bCs/>
      <w:color w:val="000000"/>
      <w:sz w:val="36"/>
      <w:szCs w:val="36"/>
    </w:rPr>
  </w:style>
  <w:style w:type="character" w:customStyle="1" w:styleId="Heading3Char">
    <w:name w:val="Heading 3 Char"/>
    <w:basedOn w:val="DefaultParagraphFont"/>
    <w:link w:val="Heading3"/>
    <w:uiPriority w:val="9"/>
    <w:rsid w:val="00114E8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14E82"/>
    <w:rPr>
      <w:rFonts w:ascii="Calibri" w:eastAsia="Times New Roman" w:hAnsi="Calibri" w:cs="Times New Roman"/>
      <w:b/>
      <w:bCs/>
      <w:sz w:val="28"/>
      <w:szCs w:val="28"/>
    </w:rPr>
  </w:style>
  <w:style w:type="paragraph" w:styleId="ListParagraph">
    <w:name w:val="List Paragraph"/>
    <w:basedOn w:val="Normal"/>
    <w:uiPriority w:val="34"/>
    <w:qFormat/>
    <w:rsid w:val="00556E5F"/>
    <w:pPr>
      <w:ind w:left="720"/>
      <w:contextualSpacing/>
    </w:pPr>
  </w:style>
  <w:style w:type="paragraph" w:customStyle="1" w:styleId="Default">
    <w:name w:val="Default"/>
    <w:rsid w:val="00556E5F"/>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556E5F"/>
    <w:rPr>
      <w:sz w:val="20"/>
      <w:szCs w:val="20"/>
    </w:rPr>
  </w:style>
  <w:style w:type="character" w:customStyle="1" w:styleId="FootnoteTextChar">
    <w:name w:val="Footnote Text Char"/>
    <w:basedOn w:val="DefaultParagraphFont"/>
    <w:link w:val="FootnoteText"/>
    <w:uiPriority w:val="99"/>
    <w:rsid w:val="00556E5F"/>
    <w:rPr>
      <w:rFonts w:eastAsia="Times New Roman"/>
    </w:rPr>
  </w:style>
  <w:style w:type="character" w:styleId="FootnoteReference">
    <w:name w:val="footnote reference"/>
    <w:basedOn w:val="DefaultParagraphFont"/>
    <w:uiPriority w:val="99"/>
    <w:semiHidden/>
    <w:unhideWhenUsed/>
    <w:rsid w:val="00556E5F"/>
    <w:rPr>
      <w:vertAlign w:val="superscript"/>
    </w:rPr>
  </w:style>
  <w:style w:type="paragraph" w:styleId="BalloonText">
    <w:name w:val="Balloon Text"/>
    <w:basedOn w:val="Normal"/>
    <w:link w:val="BalloonTextChar"/>
    <w:uiPriority w:val="99"/>
    <w:semiHidden/>
    <w:unhideWhenUsed/>
    <w:rsid w:val="00556E5F"/>
    <w:rPr>
      <w:rFonts w:ascii="Tahoma" w:hAnsi="Tahoma" w:cs="Tahoma"/>
      <w:sz w:val="16"/>
      <w:szCs w:val="16"/>
    </w:rPr>
  </w:style>
  <w:style w:type="character" w:customStyle="1" w:styleId="BalloonTextChar">
    <w:name w:val="Balloon Text Char"/>
    <w:basedOn w:val="DefaultParagraphFont"/>
    <w:link w:val="BalloonText"/>
    <w:uiPriority w:val="99"/>
    <w:semiHidden/>
    <w:rsid w:val="00556E5F"/>
    <w:rPr>
      <w:rFonts w:ascii="Tahoma" w:eastAsia="Times New Roman" w:hAnsi="Tahoma" w:cs="Tahoma"/>
      <w:sz w:val="16"/>
      <w:szCs w:val="16"/>
    </w:rPr>
  </w:style>
  <w:style w:type="character" w:styleId="Strong">
    <w:name w:val="Strong"/>
    <w:basedOn w:val="DefaultParagraphFont"/>
    <w:uiPriority w:val="22"/>
    <w:qFormat/>
    <w:rsid w:val="00556E5F"/>
    <w:rPr>
      <w:b/>
      <w:bCs/>
    </w:rPr>
  </w:style>
  <w:style w:type="paragraph" w:customStyle="1" w:styleId="H1">
    <w:name w:val="H1"/>
    <w:basedOn w:val="Normal"/>
    <w:next w:val="Normal"/>
    <w:rsid w:val="00556E5F"/>
    <w:pPr>
      <w:keepNext/>
      <w:spacing w:before="100" w:after="100"/>
      <w:outlineLvl w:val="1"/>
    </w:pPr>
    <w:rPr>
      <w:b/>
      <w:snapToGrid w:val="0"/>
      <w:kern w:val="36"/>
      <w:sz w:val="48"/>
      <w:szCs w:val="20"/>
    </w:rPr>
  </w:style>
  <w:style w:type="paragraph" w:styleId="NormalWeb">
    <w:name w:val="Normal (Web)"/>
    <w:basedOn w:val="Normal"/>
    <w:uiPriority w:val="99"/>
    <w:unhideWhenUsed/>
    <w:rsid w:val="00556E5F"/>
    <w:pPr>
      <w:spacing w:before="100" w:beforeAutospacing="1" w:after="100" w:afterAutospacing="1"/>
    </w:pPr>
    <w:rPr>
      <w:color w:val="000000"/>
    </w:rPr>
  </w:style>
  <w:style w:type="character" w:styleId="Hyperlink">
    <w:name w:val="Hyperlink"/>
    <w:basedOn w:val="DefaultParagraphFont"/>
    <w:uiPriority w:val="99"/>
    <w:unhideWhenUsed/>
    <w:rsid w:val="00556E5F"/>
    <w:rPr>
      <w:strike w:val="0"/>
      <w:dstrike w:val="0"/>
      <w:color w:val="000080"/>
      <w:u w:val="none"/>
      <w:effect w:val="none"/>
    </w:rPr>
  </w:style>
  <w:style w:type="paragraph" w:styleId="DocumentMap">
    <w:name w:val="Document Map"/>
    <w:basedOn w:val="Normal"/>
    <w:link w:val="DocumentMapChar"/>
    <w:uiPriority w:val="99"/>
    <w:semiHidden/>
    <w:unhideWhenUsed/>
    <w:rsid w:val="00556E5F"/>
    <w:rPr>
      <w:rFonts w:ascii="Tahoma" w:hAnsi="Tahoma" w:cs="Tahoma"/>
      <w:sz w:val="16"/>
      <w:szCs w:val="16"/>
    </w:rPr>
  </w:style>
  <w:style w:type="character" w:customStyle="1" w:styleId="DocumentMapChar">
    <w:name w:val="Document Map Char"/>
    <w:basedOn w:val="DefaultParagraphFont"/>
    <w:link w:val="DocumentMap"/>
    <w:uiPriority w:val="99"/>
    <w:semiHidden/>
    <w:rsid w:val="00556E5F"/>
    <w:rPr>
      <w:rFonts w:ascii="Tahoma" w:eastAsia="Times New Roman" w:hAnsi="Tahoma" w:cs="Tahoma"/>
      <w:sz w:val="16"/>
      <w:szCs w:val="16"/>
    </w:rPr>
  </w:style>
  <w:style w:type="paragraph" w:styleId="Header">
    <w:name w:val="header"/>
    <w:basedOn w:val="Normal"/>
    <w:link w:val="HeaderChar"/>
    <w:uiPriority w:val="99"/>
    <w:semiHidden/>
    <w:unhideWhenUsed/>
    <w:rsid w:val="00556E5F"/>
    <w:pPr>
      <w:tabs>
        <w:tab w:val="center" w:pos="4680"/>
        <w:tab w:val="right" w:pos="9360"/>
      </w:tabs>
    </w:pPr>
  </w:style>
  <w:style w:type="character" w:customStyle="1" w:styleId="HeaderChar">
    <w:name w:val="Header Char"/>
    <w:basedOn w:val="DefaultParagraphFont"/>
    <w:link w:val="Header"/>
    <w:uiPriority w:val="99"/>
    <w:semiHidden/>
    <w:rsid w:val="00556E5F"/>
    <w:rPr>
      <w:rFonts w:eastAsia="Times New Roman"/>
      <w:sz w:val="24"/>
      <w:szCs w:val="24"/>
    </w:rPr>
  </w:style>
  <w:style w:type="paragraph" w:styleId="Footer">
    <w:name w:val="footer"/>
    <w:basedOn w:val="Normal"/>
    <w:link w:val="FooterChar"/>
    <w:uiPriority w:val="99"/>
    <w:unhideWhenUsed/>
    <w:rsid w:val="00556E5F"/>
    <w:pPr>
      <w:tabs>
        <w:tab w:val="center" w:pos="4680"/>
        <w:tab w:val="right" w:pos="9360"/>
      </w:tabs>
    </w:pPr>
  </w:style>
  <w:style w:type="character" w:customStyle="1" w:styleId="FooterChar">
    <w:name w:val="Footer Char"/>
    <w:basedOn w:val="DefaultParagraphFont"/>
    <w:link w:val="Footer"/>
    <w:uiPriority w:val="99"/>
    <w:rsid w:val="00556E5F"/>
    <w:rPr>
      <w:rFonts w:eastAsia="Times New Roman"/>
      <w:sz w:val="24"/>
      <w:szCs w:val="24"/>
    </w:rPr>
  </w:style>
  <w:style w:type="paragraph" w:styleId="NoSpacing">
    <w:name w:val="No Spacing"/>
    <w:uiPriority w:val="1"/>
    <w:qFormat/>
    <w:rsid w:val="00AA1645"/>
    <w:rPr>
      <w:rFonts w:eastAsia="Times New Roman"/>
      <w:sz w:val="24"/>
      <w:szCs w:val="24"/>
    </w:rPr>
  </w:style>
  <w:style w:type="paragraph" w:customStyle="1" w:styleId="Normal0">
    <w:name w:val="Normal 0"/>
    <w:rsid w:val="00AA1645"/>
    <w:pPr>
      <w:widowControl w:val="0"/>
      <w:autoSpaceDE w:val="0"/>
      <w:autoSpaceDN w:val="0"/>
      <w:adjustRightInd w:val="0"/>
      <w:ind w:hanging="2160"/>
    </w:pPr>
    <w:rPr>
      <w:rFonts w:ascii="Courier New" w:eastAsia="Times New Roman" w:hAnsi="Courier New"/>
      <w:sz w:val="24"/>
      <w:szCs w:val="24"/>
    </w:rPr>
  </w:style>
  <w:style w:type="character" w:customStyle="1" w:styleId="object2">
    <w:name w:val="object2"/>
    <w:basedOn w:val="DefaultParagraphFont"/>
    <w:rsid w:val="00CB0BCE"/>
    <w:rPr>
      <w:strike w:val="0"/>
      <w:dstrike w:val="0"/>
      <w:color w:val="00008B"/>
      <w:u w:val="none"/>
      <w:effect w:val="none"/>
    </w:rPr>
  </w:style>
  <w:style w:type="character" w:customStyle="1" w:styleId="object3">
    <w:name w:val="object3"/>
    <w:basedOn w:val="DefaultParagraphFont"/>
    <w:rsid w:val="001320C2"/>
    <w:rPr>
      <w:strike w:val="0"/>
      <w:dstrike w:val="0"/>
      <w:color w:val="00008B"/>
      <w:u w:val="none"/>
      <w:effect w:val="none"/>
    </w:rPr>
  </w:style>
  <w:style w:type="character" w:customStyle="1" w:styleId="object4">
    <w:name w:val="object4"/>
    <w:basedOn w:val="DefaultParagraphFont"/>
    <w:rsid w:val="001320C2"/>
    <w:rPr>
      <w:strike w:val="0"/>
      <w:dstrike w:val="0"/>
      <w:color w:val="00008B"/>
      <w:u w:val="none"/>
      <w:effect w:val="none"/>
    </w:rPr>
  </w:style>
  <w:style w:type="paragraph" w:styleId="TOCHeading">
    <w:name w:val="TOC Heading"/>
    <w:basedOn w:val="Heading1"/>
    <w:next w:val="Normal"/>
    <w:uiPriority w:val="39"/>
    <w:unhideWhenUsed/>
    <w:qFormat/>
    <w:rsid w:val="00114E82"/>
    <w:pPr>
      <w:spacing w:line="276" w:lineRule="auto"/>
      <w:jc w:val="center"/>
      <w:outlineLvl w:val="9"/>
    </w:pPr>
    <w:rPr>
      <w:u w:val="single"/>
    </w:rPr>
  </w:style>
  <w:style w:type="paragraph" w:styleId="TOC1">
    <w:name w:val="toc 1"/>
    <w:basedOn w:val="Normal"/>
    <w:next w:val="Normal"/>
    <w:autoRedefine/>
    <w:uiPriority w:val="39"/>
    <w:unhideWhenUsed/>
    <w:rsid w:val="00114E82"/>
    <w:pPr>
      <w:spacing w:after="100" w:line="276" w:lineRule="auto"/>
    </w:pPr>
    <w:rPr>
      <w:rFonts w:eastAsia="Calibri"/>
    </w:rPr>
  </w:style>
  <w:style w:type="paragraph" w:styleId="TOC2">
    <w:name w:val="toc 2"/>
    <w:basedOn w:val="Normal"/>
    <w:next w:val="Normal"/>
    <w:autoRedefine/>
    <w:uiPriority w:val="39"/>
    <w:unhideWhenUsed/>
    <w:rsid w:val="00114E82"/>
    <w:pPr>
      <w:tabs>
        <w:tab w:val="right" w:leader="dot" w:pos="9350"/>
      </w:tabs>
      <w:spacing w:after="100" w:line="276" w:lineRule="auto"/>
      <w:ind w:left="240"/>
    </w:pPr>
    <w:rPr>
      <w:rFonts w:eastAsia="Calibri"/>
      <w:noProof/>
    </w:rPr>
  </w:style>
  <w:style w:type="paragraph" w:styleId="TOC3">
    <w:name w:val="toc 3"/>
    <w:basedOn w:val="Normal"/>
    <w:next w:val="Normal"/>
    <w:autoRedefine/>
    <w:uiPriority w:val="39"/>
    <w:unhideWhenUsed/>
    <w:rsid w:val="00114E82"/>
    <w:pPr>
      <w:tabs>
        <w:tab w:val="right" w:leader="dot" w:pos="9350"/>
      </w:tabs>
      <w:spacing w:after="100" w:line="276" w:lineRule="auto"/>
      <w:ind w:left="480"/>
    </w:pPr>
    <w:rPr>
      <w:rFonts w:eastAsia="Calibri"/>
      <w:noProof/>
    </w:rPr>
  </w:style>
  <w:style w:type="character" w:styleId="Emphasis">
    <w:name w:val="Emphasis"/>
    <w:basedOn w:val="DefaultParagraphFont"/>
    <w:uiPriority w:val="20"/>
    <w:qFormat/>
    <w:rsid w:val="00C32522"/>
    <w:rPr>
      <w:b/>
      <w:bCs/>
      <w:i w:val="0"/>
      <w:iCs w:val="0"/>
    </w:rPr>
  </w:style>
  <w:style w:type="character" w:customStyle="1" w:styleId="dateline">
    <w:name w:val="dateline"/>
    <w:basedOn w:val="DefaultParagraphFont"/>
    <w:rsid w:val="00074907"/>
  </w:style>
  <w:style w:type="table" w:styleId="TableGrid">
    <w:name w:val="Table Grid"/>
    <w:basedOn w:val="TableNormal"/>
    <w:uiPriority w:val="59"/>
    <w:rsid w:val="005A20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35F4"/>
    <w:rPr>
      <w:sz w:val="16"/>
      <w:szCs w:val="16"/>
    </w:rPr>
  </w:style>
  <w:style w:type="paragraph" w:styleId="CommentText">
    <w:name w:val="annotation text"/>
    <w:basedOn w:val="Normal"/>
    <w:link w:val="CommentTextChar"/>
    <w:uiPriority w:val="99"/>
    <w:semiHidden/>
    <w:unhideWhenUsed/>
    <w:rsid w:val="000F35F4"/>
    <w:rPr>
      <w:sz w:val="20"/>
      <w:szCs w:val="20"/>
    </w:rPr>
  </w:style>
  <w:style w:type="character" w:customStyle="1" w:styleId="CommentTextChar">
    <w:name w:val="Comment Text Char"/>
    <w:basedOn w:val="DefaultParagraphFont"/>
    <w:link w:val="CommentText"/>
    <w:uiPriority w:val="99"/>
    <w:semiHidden/>
    <w:rsid w:val="000F35F4"/>
    <w:rPr>
      <w:rFonts w:eastAsia="Times New Roman"/>
    </w:rPr>
  </w:style>
  <w:style w:type="paragraph" w:styleId="CommentSubject">
    <w:name w:val="annotation subject"/>
    <w:basedOn w:val="CommentText"/>
    <w:next w:val="CommentText"/>
    <w:link w:val="CommentSubjectChar"/>
    <w:uiPriority w:val="99"/>
    <w:semiHidden/>
    <w:unhideWhenUsed/>
    <w:rsid w:val="000F35F4"/>
    <w:rPr>
      <w:b/>
      <w:bCs/>
    </w:rPr>
  </w:style>
  <w:style w:type="character" w:customStyle="1" w:styleId="CommentSubjectChar">
    <w:name w:val="Comment Subject Char"/>
    <w:basedOn w:val="CommentTextChar"/>
    <w:link w:val="CommentSubject"/>
    <w:uiPriority w:val="99"/>
    <w:semiHidden/>
    <w:rsid w:val="000F35F4"/>
    <w:rPr>
      <w:b/>
      <w:bCs/>
    </w:rPr>
  </w:style>
  <w:style w:type="paragraph" w:styleId="Revision">
    <w:name w:val="Revision"/>
    <w:hidden/>
    <w:uiPriority w:val="99"/>
    <w:semiHidden/>
    <w:rsid w:val="000F35F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07796983">
      <w:bodyDiv w:val="1"/>
      <w:marLeft w:val="0"/>
      <w:marRight w:val="0"/>
      <w:marTop w:val="0"/>
      <w:marBottom w:val="0"/>
      <w:divBdr>
        <w:top w:val="none" w:sz="0" w:space="0" w:color="auto"/>
        <w:left w:val="none" w:sz="0" w:space="0" w:color="auto"/>
        <w:bottom w:val="none" w:sz="0" w:space="0" w:color="auto"/>
        <w:right w:val="none" w:sz="0" w:space="0" w:color="auto"/>
      </w:divBdr>
    </w:div>
    <w:div w:id="578946794">
      <w:bodyDiv w:val="1"/>
      <w:marLeft w:val="0"/>
      <w:marRight w:val="0"/>
      <w:marTop w:val="0"/>
      <w:marBottom w:val="0"/>
      <w:divBdr>
        <w:top w:val="none" w:sz="0" w:space="0" w:color="auto"/>
        <w:left w:val="none" w:sz="0" w:space="0" w:color="auto"/>
        <w:bottom w:val="none" w:sz="0" w:space="0" w:color="auto"/>
        <w:right w:val="none" w:sz="0" w:space="0" w:color="auto"/>
      </w:divBdr>
    </w:div>
    <w:div w:id="1546137287">
      <w:bodyDiv w:val="1"/>
      <w:marLeft w:val="0"/>
      <w:marRight w:val="0"/>
      <w:marTop w:val="0"/>
      <w:marBottom w:val="0"/>
      <w:divBdr>
        <w:top w:val="none" w:sz="0" w:space="0" w:color="auto"/>
        <w:left w:val="none" w:sz="0" w:space="0" w:color="auto"/>
        <w:bottom w:val="none" w:sz="0" w:space="0" w:color="auto"/>
        <w:right w:val="none" w:sz="0" w:space="0" w:color="auto"/>
      </w:divBdr>
    </w:div>
    <w:div w:id="1606116371">
      <w:bodyDiv w:val="1"/>
      <w:marLeft w:val="0"/>
      <w:marRight w:val="0"/>
      <w:marTop w:val="0"/>
      <w:marBottom w:val="0"/>
      <w:divBdr>
        <w:top w:val="none" w:sz="0" w:space="0" w:color="auto"/>
        <w:left w:val="none" w:sz="0" w:space="0" w:color="auto"/>
        <w:bottom w:val="none" w:sz="0" w:space="0" w:color="auto"/>
        <w:right w:val="none" w:sz="0" w:space="0" w:color="auto"/>
      </w:divBdr>
    </w:div>
    <w:div w:id="1697728719">
      <w:bodyDiv w:val="1"/>
      <w:marLeft w:val="100"/>
      <w:marRight w:val="100"/>
      <w:marTop w:val="38"/>
      <w:marBottom w:val="38"/>
      <w:divBdr>
        <w:top w:val="none" w:sz="0" w:space="0" w:color="auto"/>
        <w:left w:val="none" w:sz="0" w:space="0" w:color="auto"/>
        <w:bottom w:val="none" w:sz="0" w:space="0" w:color="auto"/>
        <w:right w:val="none" w:sz="0" w:space="0" w:color="auto"/>
      </w:divBdr>
      <w:divsChild>
        <w:div w:id="864295286">
          <w:marLeft w:val="0"/>
          <w:marRight w:val="0"/>
          <w:marTop w:val="0"/>
          <w:marBottom w:val="0"/>
          <w:divBdr>
            <w:top w:val="none" w:sz="0" w:space="0" w:color="auto"/>
            <w:left w:val="none" w:sz="0" w:space="0" w:color="auto"/>
            <w:bottom w:val="none" w:sz="0" w:space="0" w:color="auto"/>
            <w:right w:val="none" w:sz="0" w:space="0" w:color="auto"/>
          </w:divBdr>
          <w:divsChild>
            <w:div w:id="1701659160">
              <w:marLeft w:val="200"/>
              <w:marRight w:val="200"/>
              <w:marTop w:val="0"/>
              <w:marBottom w:val="0"/>
              <w:divBdr>
                <w:top w:val="none" w:sz="0" w:space="0" w:color="auto"/>
                <w:left w:val="none" w:sz="0" w:space="0" w:color="auto"/>
                <w:bottom w:val="none" w:sz="0" w:space="0" w:color="auto"/>
                <w:right w:val="none" w:sz="0" w:space="0" w:color="auto"/>
              </w:divBdr>
              <w:divsChild>
                <w:div w:id="5612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9915">
      <w:bodyDiv w:val="1"/>
      <w:marLeft w:val="0"/>
      <w:marRight w:val="0"/>
      <w:marTop w:val="0"/>
      <w:marBottom w:val="0"/>
      <w:divBdr>
        <w:top w:val="none" w:sz="0" w:space="0" w:color="auto"/>
        <w:left w:val="none" w:sz="0" w:space="0" w:color="auto"/>
        <w:bottom w:val="none" w:sz="0" w:space="0" w:color="auto"/>
        <w:right w:val="none" w:sz="0" w:space="0" w:color="auto"/>
      </w:divBdr>
      <w:divsChild>
        <w:div w:id="481316255">
          <w:marLeft w:val="0"/>
          <w:marRight w:val="0"/>
          <w:marTop w:val="0"/>
          <w:marBottom w:val="0"/>
          <w:divBdr>
            <w:top w:val="none" w:sz="0" w:space="0" w:color="auto"/>
            <w:left w:val="none" w:sz="0" w:space="0" w:color="auto"/>
            <w:bottom w:val="none" w:sz="0" w:space="0" w:color="auto"/>
            <w:right w:val="none" w:sz="0" w:space="0" w:color="auto"/>
          </w:divBdr>
          <w:divsChild>
            <w:div w:id="1818498170">
              <w:marLeft w:val="0"/>
              <w:marRight w:val="0"/>
              <w:marTop w:val="0"/>
              <w:marBottom w:val="0"/>
              <w:divBdr>
                <w:top w:val="single" w:sz="8" w:space="3" w:color="B5C4DF"/>
                <w:left w:val="none" w:sz="0" w:space="0" w:color="auto"/>
                <w:bottom w:val="none" w:sz="0" w:space="0" w:color="auto"/>
                <w:right w:val="none" w:sz="0" w:space="0" w:color="auto"/>
              </w:divBdr>
            </w:div>
          </w:divsChild>
        </w:div>
        <w:div w:id="1934509427">
          <w:marLeft w:val="0"/>
          <w:marRight w:val="0"/>
          <w:marTop w:val="0"/>
          <w:marBottom w:val="0"/>
          <w:divBdr>
            <w:top w:val="none" w:sz="0" w:space="0" w:color="auto"/>
            <w:left w:val="none" w:sz="0" w:space="0" w:color="auto"/>
            <w:bottom w:val="none" w:sz="0" w:space="0" w:color="auto"/>
            <w:right w:val="none" w:sz="0" w:space="0" w:color="auto"/>
          </w:divBdr>
          <w:divsChild>
            <w:div w:id="10315643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64214811">
      <w:bodyDiv w:val="1"/>
      <w:marLeft w:val="0"/>
      <w:marRight w:val="0"/>
      <w:marTop w:val="0"/>
      <w:marBottom w:val="0"/>
      <w:divBdr>
        <w:top w:val="none" w:sz="0" w:space="0" w:color="auto"/>
        <w:left w:val="none" w:sz="0" w:space="0" w:color="auto"/>
        <w:bottom w:val="none" w:sz="0" w:space="0" w:color="auto"/>
        <w:right w:val="none" w:sz="0" w:space="0" w:color="auto"/>
      </w:divBdr>
    </w:div>
    <w:div w:id="20989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8B17-87B5-4EAE-BA17-3022D4EB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14375</Words>
  <Characters>81941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2010-10-05T12:57:00Z</dcterms:created>
  <dcterms:modified xsi:type="dcterms:W3CDTF">2010-10-12T17:14:00Z</dcterms:modified>
</cp:coreProperties>
</file>